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08235C" w14:textId="2145F6A0" w:rsidR="00E74346" w:rsidRPr="00700DA4" w:rsidRDefault="00F323CB" w:rsidP="004567D0">
      <w:pPr>
        <w:widowControl w:val="0"/>
        <w:tabs>
          <w:tab w:val="left" w:pos="7780"/>
        </w:tabs>
        <w:autoSpaceDE w:val="0"/>
        <w:autoSpaceDN w:val="0"/>
        <w:adjustRightInd w:val="0"/>
        <w:spacing w:after="0" w:line="200" w:lineRule="exact"/>
        <w:ind w:left="7780" w:right="-20" w:hanging="7780"/>
        <w:rPr>
          <w:rFonts w:ascii="Garamond" w:hAnsi="Garamond" w:cs="Arial"/>
          <w:b/>
          <w:szCs w:val="20"/>
          <w:lang w:val="pt-PT"/>
        </w:rPr>
      </w:pPr>
      <w:r>
        <w:rPr>
          <w:rFonts w:ascii="Garamond" w:hAnsi="Garamond" w:cs="Arial"/>
          <w:b/>
          <w:color w:val="3B3838"/>
          <w:szCs w:val="20"/>
          <w:lang w:val="pt-PT"/>
        </w:rPr>
        <w:t>FDLM</w:t>
      </w:r>
      <w:r w:rsidR="00552DBB" w:rsidRPr="00700DA4">
        <w:rPr>
          <w:rFonts w:ascii="Garamond" w:hAnsi="Garamond" w:cs="Arial"/>
          <w:b/>
          <w:color w:val="3B3838"/>
          <w:szCs w:val="20"/>
          <w:lang w:val="pt-PT"/>
        </w:rPr>
        <w:t xml:space="preserve"> – XXX - 202</w:t>
      </w:r>
      <w:r>
        <w:rPr>
          <w:rFonts w:ascii="Garamond" w:hAnsi="Garamond" w:cs="Arial"/>
          <w:b/>
          <w:color w:val="3B3838"/>
          <w:szCs w:val="20"/>
          <w:lang w:val="pt-PT"/>
        </w:rPr>
        <w:t>6</w:t>
      </w:r>
    </w:p>
    <w:p w14:paraId="0D413001" w14:textId="77777777" w:rsidR="00E74346" w:rsidRPr="00700DA4" w:rsidRDefault="00E74346" w:rsidP="00E74346">
      <w:pPr>
        <w:widowControl w:val="0"/>
        <w:tabs>
          <w:tab w:val="left" w:pos="7780"/>
        </w:tabs>
        <w:autoSpaceDE w:val="0"/>
        <w:autoSpaceDN w:val="0"/>
        <w:adjustRightInd w:val="0"/>
        <w:spacing w:after="0" w:line="200" w:lineRule="exact"/>
        <w:ind w:right="-20"/>
        <w:jc w:val="right"/>
        <w:rPr>
          <w:rFonts w:ascii="Garamond" w:hAnsi="Garamond" w:cs="Arial"/>
          <w:b/>
          <w:szCs w:val="20"/>
          <w:lang w:val="pt-PT"/>
        </w:rPr>
      </w:pPr>
    </w:p>
    <w:p w14:paraId="3A96066B" w14:textId="50719414" w:rsidR="00C23FC8" w:rsidRPr="00700DA4" w:rsidRDefault="00E74346" w:rsidP="00C26F61">
      <w:pPr>
        <w:widowControl w:val="0"/>
        <w:tabs>
          <w:tab w:val="left" w:pos="7780"/>
        </w:tabs>
        <w:autoSpaceDE w:val="0"/>
        <w:autoSpaceDN w:val="0"/>
        <w:adjustRightInd w:val="0"/>
        <w:spacing w:after="0" w:line="200" w:lineRule="exact"/>
        <w:ind w:right="-20"/>
        <w:jc w:val="right"/>
        <w:rPr>
          <w:rFonts w:ascii="Garamond" w:hAnsi="Garamond"/>
          <w:lang w:val="pt-PT"/>
        </w:rPr>
      </w:pPr>
      <w:r w:rsidRPr="00700DA4">
        <w:rPr>
          <w:rFonts w:ascii="Garamond" w:hAnsi="Garamond" w:cs="Arial"/>
          <w:b/>
          <w:szCs w:val="20"/>
          <w:lang w:val="pt-PT"/>
        </w:rPr>
        <w:t>ANEXO 1</w:t>
      </w:r>
    </w:p>
    <w:p w14:paraId="2880FC69" w14:textId="77777777" w:rsidR="005A20C8" w:rsidRPr="00700DA4" w:rsidRDefault="000468F6" w:rsidP="466AE43E">
      <w:pPr>
        <w:jc w:val="center"/>
        <w:rPr>
          <w:rFonts w:ascii="Garamond" w:hAnsi="Garamond"/>
          <w:b/>
          <w:bCs/>
          <w:lang w:val="pt-PT"/>
        </w:rPr>
      </w:pPr>
      <w:r w:rsidRPr="00700DA4">
        <w:rPr>
          <w:rFonts w:ascii="Garamond" w:hAnsi="Garamond" w:cs="Arial"/>
          <w:b/>
          <w:bCs/>
          <w:lang w:val="pt-PT"/>
        </w:rPr>
        <w:t xml:space="preserve">ANEXO 1— </w:t>
      </w:r>
      <w:r w:rsidR="00D32D42" w:rsidRPr="00700DA4">
        <w:rPr>
          <w:rFonts w:ascii="Garamond" w:hAnsi="Garamond"/>
          <w:b/>
          <w:bCs/>
          <w:lang w:val="pt-PT"/>
        </w:rPr>
        <w:t>ANEXO TÉCNICO</w:t>
      </w:r>
    </w:p>
    <w:p w14:paraId="7F6EAADF" w14:textId="080BEA44" w:rsidR="00F039A4" w:rsidRPr="00F22FCB" w:rsidRDefault="00F039A4" w:rsidP="00F039A4">
      <w:pPr>
        <w:rPr>
          <w:rFonts w:ascii="Garamond" w:hAnsi="Garamond"/>
          <w:kern w:val="3"/>
          <w:sz w:val="22"/>
          <w:lang w:eastAsia="zh-CN"/>
        </w:rPr>
      </w:pPr>
      <w:r w:rsidRPr="00F22FCB">
        <w:rPr>
          <w:rFonts w:ascii="Garamond" w:hAnsi="Garamond"/>
          <w:kern w:val="3"/>
          <w:sz w:val="22"/>
          <w:lang w:eastAsia="zh-CN"/>
        </w:rPr>
        <w:t xml:space="preserve">El presente Anexo Técnico describe los aspectos técnicos del proyecto los cuales </w:t>
      </w:r>
      <w:r w:rsidR="00EE59FD" w:rsidRPr="00F22FCB">
        <w:rPr>
          <w:rFonts w:ascii="Garamond" w:hAnsi="Garamond"/>
          <w:kern w:val="3"/>
          <w:sz w:val="22"/>
          <w:lang w:eastAsia="zh-CN"/>
        </w:rPr>
        <w:t>las entidades</w:t>
      </w:r>
      <w:r w:rsidRPr="00F22FCB">
        <w:rPr>
          <w:rFonts w:ascii="Garamond" w:hAnsi="Garamond"/>
          <w:kern w:val="3"/>
          <w:sz w:val="22"/>
          <w:lang w:eastAsia="zh-CN"/>
        </w:rPr>
        <w:t xml:space="preserve"> deberá</w:t>
      </w:r>
      <w:r w:rsidR="00EE59FD" w:rsidRPr="00F22FCB">
        <w:rPr>
          <w:rFonts w:ascii="Garamond" w:hAnsi="Garamond"/>
          <w:kern w:val="3"/>
          <w:sz w:val="22"/>
          <w:lang w:eastAsia="zh-CN"/>
        </w:rPr>
        <w:t>n</w:t>
      </w:r>
      <w:r w:rsidRPr="00F22FCB">
        <w:rPr>
          <w:rFonts w:ascii="Garamond" w:hAnsi="Garamond"/>
          <w:kern w:val="3"/>
          <w:sz w:val="22"/>
          <w:lang w:eastAsia="zh-CN"/>
        </w:rPr>
        <w:t xml:space="preserve"> tener en cuenta para ejecutar el contrato de obra que se derive del proceso de selección cumpliendo para ello con las normas y especificaciones técnicas vigentes y propias del proyecto, de conformidad con lo </w:t>
      </w:r>
      <w:r w:rsidR="00EE59FD" w:rsidRPr="00F22FCB">
        <w:rPr>
          <w:rFonts w:ascii="Garamond" w:hAnsi="Garamond"/>
          <w:kern w:val="3"/>
          <w:sz w:val="22"/>
          <w:lang w:eastAsia="zh-CN"/>
        </w:rPr>
        <w:t>que corresponde a una contratación directa</w:t>
      </w:r>
      <w:r w:rsidRPr="00F22FCB">
        <w:rPr>
          <w:rFonts w:ascii="Garamond" w:hAnsi="Garamond"/>
          <w:kern w:val="3"/>
          <w:sz w:val="22"/>
          <w:lang w:eastAsia="zh-CN"/>
        </w:rPr>
        <w:t>,</w:t>
      </w:r>
      <w:r w:rsidR="00EE59FD" w:rsidRPr="00F22FCB">
        <w:rPr>
          <w:rFonts w:ascii="Garamond" w:hAnsi="Garamond"/>
          <w:kern w:val="3"/>
          <w:sz w:val="22"/>
          <w:lang w:eastAsia="zh-CN"/>
        </w:rPr>
        <w:t xml:space="preserve"> </w:t>
      </w:r>
      <w:r w:rsidRPr="00F22FCB">
        <w:rPr>
          <w:rFonts w:ascii="Garamond" w:hAnsi="Garamond"/>
          <w:kern w:val="3"/>
          <w:sz w:val="22"/>
          <w:lang w:eastAsia="zh-CN"/>
        </w:rPr>
        <w:t>teniendo en cuenta los principios de economía, celeridad y calidad.</w:t>
      </w:r>
    </w:p>
    <w:p w14:paraId="6324E68B" w14:textId="77777777" w:rsidR="00AB34DB" w:rsidRDefault="00EE59FD" w:rsidP="00EE59FD">
      <w:pPr>
        <w:pStyle w:val="Standard"/>
        <w:tabs>
          <w:tab w:val="left" w:pos="5191"/>
        </w:tabs>
        <w:jc w:val="both"/>
        <w:rPr>
          <w:rFonts w:ascii="Garamond" w:hAnsi="Garamond"/>
          <w:sz w:val="22"/>
          <w:szCs w:val="22"/>
        </w:rPr>
      </w:pPr>
      <w:r>
        <w:rPr>
          <w:rFonts w:ascii="Garamond" w:hAnsi="Garamond"/>
          <w:sz w:val="22"/>
          <w:szCs w:val="22"/>
        </w:rPr>
        <w:t>Por lo anterior</w:t>
      </w:r>
      <w:r w:rsidR="00AB34DB">
        <w:rPr>
          <w:rFonts w:ascii="Garamond" w:hAnsi="Garamond"/>
          <w:sz w:val="22"/>
          <w:szCs w:val="22"/>
        </w:rPr>
        <w:t>:</w:t>
      </w:r>
    </w:p>
    <w:p w14:paraId="2A826C48" w14:textId="77777777" w:rsidR="00AB34DB" w:rsidRDefault="00AB34DB" w:rsidP="00EE59FD">
      <w:pPr>
        <w:pStyle w:val="Standard"/>
        <w:tabs>
          <w:tab w:val="left" w:pos="5191"/>
        </w:tabs>
        <w:jc w:val="both"/>
        <w:rPr>
          <w:rFonts w:ascii="Garamond" w:hAnsi="Garamond"/>
          <w:sz w:val="22"/>
          <w:szCs w:val="22"/>
        </w:rPr>
      </w:pPr>
    </w:p>
    <w:p w14:paraId="5E7D9E4D" w14:textId="5CBC0E7F" w:rsidR="00AB34DB" w:rsidRPr="006E74A5" w:rsidRDefault="00AB34DB" w:rsidP="00AB34DB">
      <w:pPr>
        <w:pStyle w:val="Standard"/>
        <w:tabs>
          <w:tab w:val="left" w:pos="76"/>
        </w:tabs>
        <w:jc w:val="both"/>
        <w:rPr>
          <w:rFonts w:ascii="Garamond" w:hAnsi="Garamond"/>
          <w:b/>
          <w:bCs/>
          <w:sz w:val="22"/>
          <w:szCs w:val="22"/>
        </w:rPr>
      </w:pPr>
      <w:r w:rsidRPr="006E74A5">
        <w:rPr>
          <w:rFonts w:ascii="Garamond" w:hAnsi="Garamond"/>
          <w:b/>
          <w:bCs/>
          <w:sz w:val="22"/>
          <w:szCs w:val="22"/>
        </w:rPr>
        <w:t xml:space="preserve">FONDO DE DESARROLLO LOCAL – ALCALDIA DE </w:t>
      </w:r>
      <w:r>
        <w:rPr>
          <w:rFonts w:ascii="Garamond" w:hAnsi="Garamond"/>
          <w:b/>
          <w:bCs/>
          <w:sz w:val="22"/>
          <w:szCs w:val="22"/>
        </w:rPr>
        <w:t xml:space="preserve">LOCAL DE </w:t>
      </w:r>
      <w:r w:rsidR="00F323CB">
        <w:rPr>
          <w:rFonts w:ascii="Garamond" w:hAnsi="Garamond"/>
          <w:b/>
          <w:bCs/>
          <w:sz w:val="22"/>
          <w:szCs w:val="22"/>
        </w:rPr>
        <w:t>LOS MARTIRES</w:t>
      </w:r>
    </w:p>
    <w:p w14:paraId="7D6F4B81" w14:textId="77777777" w:rsidR="00AB34DB" w:rsidRDefault="00AB34DB" w:rsidP="00EE59FD">
      <w:pPr>
        <w:pStyle w:val="Standard"/>
        <w:tabs>
          <w:tab w:val="left" w:pos="5191"/>
        </w:tabs>
        <w:jc w:val="both"/>
        <w:rPr>
          <w:rFonts w:ascii="Garamond" w:hAnsi="Garamond"/>
          <w:sz w:val="22"/>
          <w:szCs w:val="22"/>
        </w:rPr>
      </w:pPr>
    </w:p>
    <w:p w14:paraId="1BF05B01" w14:textId="4E14578B" w:rsidR="00EE59FD" w:rsidRPr="005C2CF8" w:rsidRDefault="00AB34DB" w:rsidP="00EE59FD">
      <w:pPr>
        <w:pStyle w:val="Standard"/>
        <w:tabs>
          <w:tab w:val="left" w:pos="5191"/>
        </w:tabs>
        <w:jc w:val="both"/>
        <w:rPr>
          <w:rFonts w:ascii="Garamond" w:hAnsi="Garamond"/>
          <w:sz w:val="22"/>
          <w:szCs w:val="22"/>
        </w:rPr>
      </w:pPr>
      <w:r>
        <w:rPr>
          <w:rFonts w:ascii="Garamond" w:hAnsi="Garamond"/>
          <w:sz w:val="22"/>
          <w:szCs w:val="22"/>
        </w:rPr>
        <w:t>L</w:t>
      </w:r>
      <w:r w:rsidR="00EE59FD">
        <w:rPr>
          <w:rFonts w:ascii="Garamond" w:hAnsi="Garamond"/>
          <w:sz w:val="22"/>
          <w:szCs w:val="22"/>
        </w:rPr>
        <w:t xml:space="preserve">a </w:t>
      </w:r>
      <w:r w:rsidR="00EE59FD" w:rsidRPr="005C2CF8">
        <w:rPr>
          <w:rFonts w:ascii="Garamond" w:hAnsi="Garamond"/>
          <w:sz w:val="22"/>
          <w:szCs w:val="22"/>
        </w:rPr>
        <w:t xml:space="preserve">Alcaldía Local tiene como misión “ser una dependencia de la Secretaría Distrital de Gobierno responsable de apoyar la ejecución de las competencias asignadas a los </w:t>
      </w:r>
      <w:proofErr w:type="gramStart"/>
      <w:r w:rsidR="00EE59FD" w:rsidRPr="005C2CF8">
        <w:rPr>
          <w:rFonts w:ascii="Garamond" w:hAnsi="Garamond"/>
          <w:sz w:val="22"/>
          <w:szCs w:val="22"/>
        </w:rPr>
        <w:t>Alcaldes</w:t>
      </w:r>
      <w:proofErr w:type="gramEnd"/>
      <w:r w:rsidR="00EE59FD" w:rsidRPr="005C2CF8">
        <w:rPr>
          <w:rFonts w:ascii="Garamond" w:hAnsi="Garamond"/>
          <w:sz w:val="22"/>
          <w:szCs w:val="22"/>
        </w:rPr>
        <w:t xml:space="preserve"> o Alcaldesas Locales. En este sentido, deberán coordinar la acción del Distrito en las localidades y participar en la definición de las políticas de promoción y gestión del desarrollo de su territorio. Asimismo, fomentar la organización de las comunidades, la participación ciudadana en los procesos de la gestión pública, la promoción de la convivencia y la resolución de conflictos.”. </w:t>
      </w:r>
    </w:p>
    <w:p w14:paraId="6EDFFDAB" w14:textId="77777777" w:rsidR="00EE59FD" w:rsidRPr="005C2CF8" w:rsidRDefault="00EE59FD" w:rsidP="00EE59FD">
      <w:pPr>
        <w:pStyle w:val="Standard"/>
        <w:tabs>
          <w:tab w:val="left" w:pos="5191"/>
        </w:tabs>
        <w:jc w:val="both"/>
        <w:rPr>
          <w:rFonts w:ascii="Garamond" w:hAnsi="Garamond"/>
          <w:sz w:val="22"/>
          <w:szCs w:val="22"/>
        </w:rPr>
      </w:pPr>
    </w:p>
    <w:p w14:paraId="22136DD4" w14:textId="77777777" w:rsidR="00EE59FD" w:rsidRDefault="00EE59FD" w:rsidP="00EE59FD">
      <w:pPr>
        <w:pStyle w:val="Standard"/>
        <w:tabs>
          <w:tab w:val="left" w:pos="5191"/>
        </w:tabs>
        <w:jc w:val="both"/>
        <w:rPr>
          <w:rFonts w:ascii="Garamond" w:hAnsi="Garamond"/>
          <w:sz w:val="22"/>
          <w:szCs w:val="22"/>
        </w:rPr>
      </w:pPr>
      <w:r w:rsidRPr="005C2CF8">
        <w:rPr>
          <w:rFonts w:ascii="Garamond" w:hAnsi="Garamond"/>
          <w:sz w:val="22"/>
          <w:szCs w:val="22"/>
        </w:rPr>
        <w:t xml:space="preserve">Con el propósito de atender los principios de transparencia, economía y responsabilidad, orientados a la adecuada planeación, inversión y ejecución de los recursos de los Fondos de Desarrollo Local, la Alcaldía Local adelanta la gestión contractual de conformidad con los procedimientos establecidos y la normatividad vigente, facultad que junto con la de ordenar los gastos y pagos con cargo al presupuesto de los Fondos de Desarrollo Local, ha sido delegada por el Alcalde Mayor de Bogotá a los Alcaldes Locales mediante Decreto Distrital 374 de 2019. </w:t>
      </w:r>
    </w:p>
    <w:p w14:paraId="5E691649" w14:textId="77777777" w:rsidR="00EE59FD" w:rsidRDefault="00EE59FD" w:rsidP="00EE59FD">
      <w:pPr>
        <w:pStyle w:val="Standard"/>
        <w:tabs>
          <w:tab w:val="left" w:pos="5191"/>
        </w:tabs>
        <w:jc w:val="both"/>
        <w:rPr>
          <w:rFonts w:ascii="Garamond" w:hAnsi="Garamond"/>
          <w:sz w:val="22"/>
          <w:szCs w:val="22"/>
        </w:rPr>
      </w:pPr>
    </w:p>
    <w:p w14:paraId="0088D82C" w14:textId="77777777" w:rsidR="00EE59FD" w:rsidRDefault="00EE59FD" w:rsidP="00EE59FD">
      <w:pPr>
        <w:pStyle w:val="Standard"/>
        <w:tabs>
          <w:tab w:val="left" w:pos="5191"/>
        </w:tabs>
        <w:jc w:val="both"/>
        <w:rPr>
          <w:rFonts w:ascii="Garamond" w:hAnsi="Garamond"/>
          <w:sz w:val="22"/>
          <w:szCs w:val="22"/>
        </w:rPr>
      </w:pPr>
      <w:r w:rsidRPr="005C2CF8">
        <w:rPr>
          <w:rFonts w:ascii="Garamond" w:hAnsi="Garamond"/>
          <w:sz w:val="22"/>
          <w:szCs w:val="22"/>
        </w:rPr>
        <w:t xml:space="preserve">Dentro de las competencias de los alcaldes locales, expuestas en el artículo 5 del citado Acuerdo 740 de 2019, </w:t>
      </w:r>
      <w:r>
        <w:rPr>
          <w:rFonts w:ascii="Garamond" w:hAnsi="Garamond"/>
          <w:sz w:val="22"/>
          <w:szCs w:val="22"/>
        </w:rPr>
        <w:t>e</w:t>
      </w:r>
      <w:r w:rsidRPr="005C2CF8">
        <w:rPr>
          <w:rFonts w:ascii="Garamond" w:hAnsi="Garamond"/>
          <w:sz w:val="22"/>
          <w:szCs w:val="22"/>
        </w:rPr>
        <w:t>n consonancia con los principios de concurrencia, subsidiariedad, complementariedad y coordinación</w:t>
      </w:r>
      <w:r>
        <w:rPr>
          <w:rFonts w:ascii="Garamond" w:hAnsi="Garamond"/>
          <w:sz w:val="22"/>
          <w:szCs w:val="22"/>
        </w:rPr>
        <w:t>,</w:t>
      </w:r>
      <w:r w:rsidRPr="005C2CF8">
        <w:rPr>
          <w:rFonts w:ascii="Garamond" w:hAnsi="Garamond"/>
          <w:sz w:val="22"/>
          <w:szCs w:val="22"/>
        </w:rPr>
        <w:t xml:space="preserve"> los </w:t>
      </w:r>
      <w:proofErr w:type="gramStart"/>
      <w:r w:rsidRPr="005C2CF8">
        <w:rPr>
          <w:rFonts w:ascii="Garamond" w:hAnsi="Garamond"/>
          <w:sz w:val="22"/>
          <w:szCs w:val="22"/>
        </w:rPr>
        <w:t>Alcaldes</w:t>
      </w:r>
      <w:proofErr w:type="gramEnd"/>
      <w:r w:rsidRPr="005C2CF8">
        <w:rPr>
          <w:rFonts w:ascii="Garamond" w:hAnsi="Garamond"/>
          <w:sz w:val="22"/>
          <w:szCs w:val="22"/>
        </w:rPr>
        <w:t xml:space="preserve"> Locales tienen las siguientes: </w:t>
      </w:r>
    </w:p>
    <w:p w14:paraId="1CD9C7CF" w14:textId="77777777" w:rsidR="00EE59FD" w:rsidRDefault="00EE59FD" w:rsidP="00EE59FD">
      <w:pPr>
        <w:pStyle w:val="Standard"/>
        <w:tabs>
          <w:tab w:val="left" w:pos="5191"/>
        </w:tabs>
        <w:jc w:val="both"/>
        <w:rPr>
          <w:rFonts w:ascii="Garamond" w:hAnsi="Garamond"/>
          <w:sz w:val="22"/>
          <w:szCs w:val="22"/>
        </w:rPr>
      </w:pPr>
    </w:p>
    <w:p w14:paraId="69D31009" w14:textId="77777777" w:rsidR="00EE59FD" w:rsidRDefault="00EE59FD" w:rsidP="00EE59FD">
      <w:pPr>
        <w:pStyle w:val="Standard"/>
        <w:tabs>
          <w:tab w:val="left" w:pos="5191"/>
        </w:tabs>
        <w:jc w:val="both"/>
        <w:rPr>
          <w:rFonts w:ascii="Garamond" w:hAnsi="Garamond"/>
          <w:sz w:val="22"/>
          <w:szCs w:val="22"/>
        </w:rPr>
      </w:pPr>
      <w:r>
        <w:rPr>
          <w:rFonts w:ascii="Garamond" w:hAnsi="Garamond"/>
          <w:sz w:val="22"/>
          <w:szCs w:val="22"/>
        </w:rPr>
        <w:t>“</w:t>
      </w:r>
      <w:r w:rsidRPr="005C2CF8">
        <w:rPr>
          <w:rFonts w:ascii="Garamond" w:hAnsi="Garamond"/>
          <w:sz w:val="22"/>
          <w:szCs w:val="22"/>
        </w:rPr>
        <w:t>1. Administrar las alcaldías locales y los Fondos de Desarrollo Local.</w:t>
      </w:r>
      <w:r>
        <w:rPr>
          <w:rFonts w:ascii="Garamond" w:hAnsi="Garamond"/>
          <w:sz w:val="22"/>
          <w:szCs w:val="22"/>
        </w:rPr>
        <w:t>”</w:t>
      </w:r>
      <w:r w:rsidRPr="005C2CF8">
        <w:rPr>
          <w:rFonts w:ascii="Garamond" w:hAnsi="Garamond"/>
          <w:sz w:val="22"/>
          <w:szCs w:val="22"/>
        </w:rPr>
        <w:t xml:space="preserve"> </w:t>
      </w:r>
    </w:p>
    <w:p w14:paraId="31B36057" w14:textId="77777777" w:rsidR="00EE59FD" w:rsidRDefault="00EE59FD" w:rsidP="00EE59FD">
      <w:pPr>
        <w:pStyle w:val="Standard"/>
        <w:tabs>
          <w:tab w:val="left" w:pos="5191"/>
        </w:tabs>
        <w:jc w:val="both"/>
        <w:rPr>
          <w:rFonts w:ascii="Garamond" w:hAnsi="Garamond"/>
          <w:sz w:val="22"/>
          <w:szCs w:val="22"/>
        </w:rPr>
      </w:pPr>
    </w:p>
    <w:p w14:paraId="611B2BAE" w14:textId="5F975674" w:rsidR="00EE59FD" w:rsidRPr="00F22FCB" w:rsidRDefault="00EE59FD" w:rsidP="00EE59FD">
      <w:pPr>
        <w:rPr>
          <w:rFonts w:ascii="Garamond" w:hAnsi="Garamond"/>
          <w:kern w:val="3"/>
          <w:sz w:val="22"/>
          <w:lang w:eastAsia="zh-CN"/>
        </w:rPr>
      </w:pPr>
      <w:r>
        <w:t>“2</w:t>
      </w:r>
      <w:r w:rsidRPr="00F22FCB">
        <w:rPr>
          <w:rFonts w:ascii="Garamond" w:hAnsi="Garamond"/>
          <w:kern w:val="3"/>
          <w:sz w:val="22"/>
          <w:lang w:eastAsia="zh-CN"/>
        </w:rPr>
        <w:t xml:space="preserve">. Adelantar el diseño, construcción y conservación de la malla vial local e intermedia, del espacio público y peatonal local e intermedio; así como de los puentes peatonales y/o vehiculares que pertenezcan a la malla vial local e intermedia, incluyendo los ubicados sobre cuerpos de agua. Así mismo, podrán coordinar con las entidades del sector movilidad su participación en la conservación de la malla vial y espacio público arterial, sin transporte masivo. 4. Adelantar la construcción y mantenimiento de parques vecinales y de bolsillo.” </w:t>
      </w:r>
    </w:p>
    <w:p w14:paraId="6A67A4D9" w14:textId="77777777" w:rsidR="00EE59FD" w:rsidRDefault="00EE59FD" w:rsidP="00EE59FD">
      <w:pPr>
        <w:pStyle w:val="Standard"/>
        <w:tabs>
          <w:tab w:val="left" w:pos="5191"/>
        </w:tabs>
        <w:jc w:val="both"/>
        <w:rPr>
          <w:rFonts w:ascii="Garamond" w:hAnsi="Garamond"/>
          <w:sz w:val="22"/>
          <w:szCs w:val="22"/>
        </w:rPr>
      </w:pPr>
      <w:r>
        <w:rPr>
          <w:rFonts w:ascii="Garamond" w:hAnsi="Garamond"/>
          <w:sz w:val="22"/>
          <w:szCs w:val="22"/>
        </w:rPr>
        <w:t>Por su lado, e</w:t>
      </w:r>
      <w:r w:rsidRPr="005C2CF8">
        <w:rPr>
          <w:rFonts w:ascii="Garamond" w:hAnsi="Garamond"/>
          <w:sz w:val="22"/>
          <w:szCs w:val="22"/>
        </w:rPr>
        <w:t>l Articulo 7 Literal a), del referido Acuerdo 740 de 2019 les asigna a las alcaldías locales como funci</w:t>
      </w:r>
      <w:r>
        <w:rPr>
          <w:rFonts w:ascii="Garamond" w:hAnsi="Garamond"/>
          <w:sz w:val="22"/>
          <w:szCs w:val="22"/>
        </w:rPr>
        <w:t>ones</w:t>
      </w:r>
      <w:r w:rsidRPr="005C2CF8">
        <w:rPr>
          <w:rFonts w:ascii="Garamond" w:hAnsi="Garamond"/>
          <w:sz w:val="22"/>
          <w:szCs w:val="22"/>
        </w:rPr>
        <w:t xml:space="preserve"> misional</w:t>
      </w:r>
      <w:r>
        <w:rPr>
          <w:rFonts w:ascii="Garamond" w:hAnsi="Garamond"/>
          <w:sz w:val="22"/>
          <w:szCs w:val="22"/>
        </w:rPr>
        <w:t>es, entre otras, las siguientes:</w:t>
      </w:r>
      <w:r w:rsidRPr="005C2CF8">
        <w:rPr>
          <w:rFonts w:ascii="Garamond" w:hAnsi="Garamond"/>
          <w:sz w:val="22"/>
          <w:szCs w:val="22"/>
        </w:rPr>
        <w:t xml:space="preserve"> </w:t>
      </w:r>
    </w:p>
    <w:p w14:paraId="252C1597" w14:textId="77777777" w:rsidR="00EE59FD" w:rsidRDefault="00EE59FD" w:rsidP="00EE59FD">
      <w:pPr>
        <w:pStyle w:val="Standard"/>
        <w:tabs>
          <w:tab w:val="left" w:pos="5191"/>
        </w:tabs>
        <w:jc w:val="both"/>
        <w:rPr>
          <w:rFonts w:ascii="Garamond" w:hAnsi="Garamond"/>
          <w:sz w:val="22"/>
          <w:szCs w:val="22"/>
        </w:rPr>
      </w:pPr>
    </w:p>
    <w:p w14:paraId="274505E4" w14:textId="77777777" w:rsidR="00EE59FD" w:rsidRDefault="00EE59FD" w:rsidP="00EE59FD">
      <w:pPr>
        <w:pStyle w:val="Standard"/>
        <w:tabs>
          <w:tab w:val="left" w:pos="5191"/>
        </w:tabs>
        <w:jc w:val="both"/>
        <w:rPr>
          <w:rFonts w:ascii="Garamond" w:hAnsi="Garamond"/>
          <w:sz w:val="22"/>
          <w:szCs w:val="22"/>
        </w:rPr>
      </w:pPr>
      <w:r>
        <w:rPr>
          <w:rFonts w:ascii="Garamond" w:hAnsi="Garamond"/>
          <w:sz w:val="22"/>
          <w:szCs w:val="22"/>
        </w:rPr>
        <w:t>“</w:t>
      </w:r>
      <w:r w:rsidRPr="005C2CF8">
        <w:rPr>
          <w:rFonts w:ascii="Garamond" w:hAnsi="Garamond"/>
          <w:sz w:val="22"/>
          <w:szCs w:val="22"/>
        </w:rPr>
        <w:t>3. Planear estratégicamente los asuntos propios relativos a sus competencias y la ejecución de los recursos de los Fondos de Desarrollo Local, en el marco de los Planes de Desarrollo Local y de los lineamientos y prioridades del Distrito Capital relativos a su localidad.</w:t>
      </w:r>
      <w:r>
        <w:rPr>
          <w:rFonts w:ascii="Garamond" w:hAnsi="Garamond"/>
          <w:sz w:val="22"/>
          <w:szCs w:val="22"/>
        </w:rPr>
        <w:t>”</w:t>
      </w:r>
      <w:r w:rsidRPr="005C2CF8">
        <w:rPr>
          <w:rFonts w:ascii="Garamond" w:hAnsi="Garamond"/>
          <w:sz w:val="22"/>
          <w:szCs w:val="22"/>
        </w:rPr>
        <w:t xml:space="preserve"> </w:t>
      </w:r>
    </w:p>
    <w:p w14:paraId="1DFFD2F9" w14:textId="77777777" w:rsidR="00EE59FD" w:rsidRDefault="00EE59FD" w:rsidP="00EE59FD">
      <w:pPr>
        <w:pStyle w:val="Standard"/>
        <w:tabs>
          <w:tab w:val="left" w:pos="5191"/>
        </w:tabs>
        <w:jc w:val="both"/>
        <w:rPr>
          <w:rFonts w:ascii="Garamond" w:hAnsi="Garamond"/>
          <w:sz w:val="22"/>
          <w:szCs w:val="22"/>
        </w:rPr>
      </w:pPr>
    </w:p>
    <w:p w14:paraId="7A4D5772" w14:textId="77777777" w:rsidR="00EE59FD" w:rsidRPr="005C2CF8" w:rsidRDefault="00EE59FD" w:rsidP="00EE59FD">
      <w:pPr>
        <w:pStyle w:val="Standard"/>
        <w:tabs>
          <w:tab w:val="left" w:pos="5191"/>
        </w:tabs>
        <w:jc w:val="both"/>
        <w:rPr>
          <w:rFonts w:ascii="Garamond" w:hAnsi="Garamond"/>
          <w:sz w:val="22"/>
          <w:szCs w:val="22"/>
        </w:rPr>
      </w:pPr>
      <w:r>
        <w:rPr>
          <w:rFonts w:ascii="Garamond" w:hAnsi="Garamond"/>
          <w:sz w:val="22"/>
          <w:szCs w:val="22"/>
        </w:rPr>
        <w:t>“</w:t>
      </w:r>
      <w:r w:rsidRPr="005C2CF8">
        <w:rPr>
          <w:rFonts w:ascii="Garamond" w:hAnsi="Garamond"/>
          <w:sz w:val="22"/>
          <w:szCs w:val="22"/>
        </w:rPr>
        <w:t>4. Contribuir a las metas del Plan Distrital de Desarrollo, en el marco de las competencias de las autoridades locales.</w:t>
      </w:r>
      <w:r>
        <w:rPr>
          <w:rFonts w:ascii="Garamond" w:hAnsi="Garamond"/>
          <w:sz w:val="22"/>
          <w:szCs w:val="22"/>
        </w:rPr>
        <w:t>”</w:t>
      </w:r>
      <w:r w:rsidRPr="005C2CF8">
        <w:rPr>
          <w:rFonts w:ascii="Garamond" w:hAnsi="Garamond"/>
          <w:sz w:val="22"/>
          <w:szCs w:val="22"/>
        </w:rPr>
        <w:t xml:space="preserve"> </w:t>
      </w:r>
    </w:p>
    <w:p w14:paraId="0420AB13" w14:textId="77777777" w:rsidR="00EE59FD" w:rsidRPr="006E74A5" w:rsidRDefault="00EE59FD" w:rsidP="00EE59FD">
      <w:pPr>
        <w:pStyle w:val="Standard"/>
        <w:tabs>
          <w:tab w:val="left" w:pos="76"/>
        </w:tabs>
        <w:jc w:val="both"/>
        <w:rPr>
          <w:rFonts w:ascii="Garamond" w:hAnsi="Garamond"/>
          <w:sz w:val="22"/>
          <w:szCs w:val="22"/>
        </w:rPr>
      </w:pPr>
    </w:p>
    <w:p w14:paraId="744FB8B6" w14:textId="313A1B6A" w:rsidR="00EE59FD" w:rsidRDefault="00EE59FD" w:rsidP="00EE59FD">
      <w:pPr>
        <w:pBdr>
          <w:top w:val="nil"/>
          <w:left w:val="nil"/>
          <w:bottom w:val="nil"/>
          <w:right w:val="nil"/>
          <w:between w:val="nil"/>
        </w:pBdr>
        <w:spacing w:after="0" w:line="240" w:lineRule="auto"/>
        <w:rPr>
          <w:rFonts w:ascii="Garamond" w:hAnsi="Garamond" w:cstheme="majorHAnsi"/>
        </w:rPr>
      </w:pPr>
      <w:r>
        <w:rPr>
          <w:rFonts w:ascii="Garamond" w:hAnsi="Garamond" w:cstheme="majorHAnsi"/>
        </w:rPr>
        <w:t>Por ello, c</w:t>
      </w:r>
      <w:r w:rsidRPr="006E74A5">
        <w:rPr>
          <w:rFonts w:ascii="Garamond" w:hAnsi="Garamond" w:cstheme="majorHAnsi"/>
        </w:rPr>
        <w:t xml:space="preserve">onforme quedo establecido en el estudio previo que hace parte integral del convenio, el </w:t>
      </w:r>
      <w:r w:rsidRPr="006E74A5">
        <w:rPr>
          <w:rFonts w:ascii="Garamond" w:hAnsi="Garamond" w:cstheme="majorHAnsi"/>
          <w:b/>
        </w:rPr>
        <w:t>Fondo de Desarrollo Local de</w:t>
      </w:r>
      <w:r>
        <w:rPr>
          <w:rFonts w:ascii="Garamond" w:hAnsi="Garamond" w:cstheme="majorHAnsi"/>
          <w:b/>
        </w:rPr>
        <w:t xml:space="preserve"> </w:t>
      </w:r>
      <w:r w:rsidR="00F323CB">
        <w:rPr>
          <w:rFonts w:ascii="Garamond" w:hAnsi="Garamond" w:cstheme="majorHAnsi"/>
          <w:b/>
        </w:rPr>
        <w:t xml:space="preserve">Los </w:t>
      </w:r>
      <w:r w:rsidR="004924EB">
        <w:rPr>
          <w:rFonts w:ascii="Garamond" w:hAnsi="Garamond" w:cstheme="majorHAnsi"/>
          <w:b/>
        </w:rPr>
        <w:t>Mártires</w:t>
      </w:r>
      <w:r>
        <w:rPr>
          <w:rFonts w:ascii="Garamond" w:hAnsi="Garamond" w:cstheme="majorHAnsi"/>
          <w:b/>
        </w:rPr>
        <w:t xml:space="preserve"> (</w:t>
      </w:r>
      <w:r w:rsidR="00F323CB">
        <w:rPr>
          <w:rFonts w:ascii="Garamond" w:hAnsi="Garamond" w:cstheme="majorHAnsi"/>
          <w:b/>
        </w:rPr>
        <w:t>FDLM</w:t>
      </w:r>
      <w:r>
        <w:rPr>
          <w:rFonts w:ascii="Garamond" w:hAnsi="Garamond" w:cstheme="majorHAnsi"/>
          <w:b/>
        </w:rPr>
        <w:t>)</w:t>
      </w:r>
      <w:r w:rsidRPr="006E74A5">
        <w:rPr>
          <w:rFonts w:ascii="Garamond" w:hAnsi="Garamond" w:cstheme="majorHAnsi"/>
        </w:rPr>
        <w:t xml:space="preserve"> requiere intervenir las vías locales de forma óptima y efectiva, con el fin de dar pronta solución al problema de movilidad que aqueja a la comunidad. </w:t>
      </w:r>
    </w:p>
    <w:p w14:paraId="3C18024A" w14:textId="77777777" w:rsidR="00AB34DB" w:rsidRDefault="00AB34DB" w:rsidP="00EE59FD">
      <w:pPr>
        <w:pBdr>
          <w:top w:val="nil"/>
          <w:left w:val="nil"/>
          <w:bottom w:val="nil"/>
          <w:right w:val="nil"/>
          <w:between w:val="nil"/>
        </w:pBdr>
        <w:spacing w:after="0" w:line="240" w:lineRule="auto"/>
        <w:rPr>
          <w:rFonts w:ascii="Garamond" w:hAnsi="Garamond" w:cstheme="majorHAnsi"/>
        </w:rPr>
      </w:pPr>
    </w:p>
    <w:p w14:paraId="24A88BCD" w14:textId="77777777" w:rsidR="00AB34DB" w:rsidRDefault="00AB34DB" w:rsidP="00EE59FD">
      <w:pPr>
        <w:pBdr>
          <w:top w:val="nil"/>
          <w:left w:val="nil"/>
          <w:bottom w:val="nil"/>
          <w:right w:val="nil"/>
          <w:between w:val="nil"/>
        </w:pBdr>
        <w:spacing w:after="0" w:line="240" w:lineRule="auto"/>
        <w:rPr>
          <w:rFonts w:ascii="Garamond" w:hAnsi="Garamond" w:cstheme="majorHAnsi"/>
        </w:rPr>
      </w:pPr>
    </w:p>
    <w:p w14:paraId="54D41AFA" w14:textId="77777777" w:rsidR="00AB34DB" w:rsidRDefault="00AB34DB" w:rsidP="00AB34DB">
      <w:pPr>
        <w:pStyle w:val="Standard"/>
        <w:tabs>
          <w:tab w:val="left" w:pos="76"/>
        </w:tabs>
        <w:jc w:val="both"/>
        <w:rPr>
          <w:rFonts w:ascii="Garamond" w:hAnsi="Garamond"/>
          <w:b/>
          <w:bCs/>
          <w:sz w:val="22"/>
          <w:szCs w:val="22"/>
          <w:lang w:val="es-ES_tradnl"/>
        </w:rPr>
      </w:pPr>
    </w:p>
    <w:p w14:paraId="7C315D17" w14:textId="487F4057" w:rsidR="00AB34DB" w:rsidRPr="006E74A5" w:rsidRDefault="00AB34DB" w:rsidP="00AB34DB">
      <w:pPr>
        <w:pStyle w:val="Standard"/>
        <w:tabs>
          <w:tab w:val="left" w:pos="76"/>
        </w:tabs>
        <w:jc w:val="both"/>
        <w:rPr>
          <w:rFonts w:ascii="Garamond" w:hAnsi="Garamond"/>
          <w:b/>
          <w:bCs/>
          <w:sz w:val="22"/>
          <w:szCs w:val="22"/>
          <w:lang w:val="es-ES_tradnl"/>
        </w:rPr>
      </w:pPr>
      <w:r w:rsidRPr="006E74A5">
        <w:rPr>
          <w:rFonts w:ascii="Garamond" w:hAnsi="Garamond"/>
          <w:b/>
          <w:bCs/>
          <w:sz w:val="22"/>
          <w:szCs w:val="22"/>
          <w:lang w:val="es-ES_tradnl"/>
        </w:rPr>
        <w:t xml:space="preserve">UNIDAD ADMINISTRATIVA ESPECIAL DE REHABILITACIÓN Y MANTENIMIENTO VIAL </w:t>
      </w:r>
      <w:r>
        <w:rPr>
          <w:rFonts w:ascii="Garamond" w:hAnsi="Garamond"/>
          <w:b/>
          <w:bCs/>
          <w:sz w:val="22"/>
          <w:szCs w:val="22"/>
          <w:lang w:val="es-ES_tradnl"/>
        </w:rPr>
        <w:t xml:space="preserve">- </w:t>
      </w:r>
      <w:r w:rsidRPr="006E74A5">
        <w:rPr>
          <w:rFonts w:ascii="Garamond" w:hAnsi="Garamond"/>
          <w:b/>
          <w:bCs/>
          <w:sz w:val="22"/>
          <w:szCs w:val="22"/>
          <w:lang w:val="es-ES_tradnl"/>
        </w:rPr>
        <w:t>UAERMV</w:t>
      </w:r>
    </w:p>
    <w:p w14:paraId="67FEFF2B" w14:textId="77777777" w:rsidR="00AB34DB" w:rsidRPr="006E74A5" w:rsidRDefault="00AB34DB" w:rsidP="00EE59FD">
      <w:pPr>
        <w:pBdr>
          <w:top w:val="nil"/>
          <w:left w:val="nil"/>
          <w:bottom w:val="nil"/>
          <w:right w:val="nil"/>
          <w:between w:val="nil"/>
        </w:pBdr>
        <w:spacing w:after="0" w:line="240" w:lineRule="auto"/>
        <w:rPr>
          <w:rFonts w:ascii="Garamond" w:eastAsia="Calibri" w:hAnsi="Garamond" w:cstheme="majorHAnsi"/>
          <w:bCs/>
        </w:rPr>
      </w:pPr>
    </w:p>
    <w:p w14:paraId="24FDCFF8" w14:textId="77777777" w:rsidR="00AB34DB" w:rsidRPr="006E74A5" w:rsidRDefault="00AB34DB" w:rsidP="00AB34DB">
      <w:pPr>
        <w:pStyle w:val="Standard"/>
        <w:tabs>
          <w:tab w:val="left" w:pos="76"/>
        </w:tabs>
        <w:jc w:val="both"/>
        <w:rPr>
          <w:rFonts w:ascii="Garamond" w:eastAsia="Calibri" w:hAnsi="Garamond" w:cstheme="majorHAnsi"/>
          <w:sz w:val="22"/>
          <w:szCs w:val="22"/>
        </w:rPr>
      </w:pPr>
      <w:r w:rsidRPr="006E74A5">
        <w:rPr>
          <w:rFonts w:ascii="Garamond" w:eastAsia="Calibri" w:hAnsi="Garamond" w:cstheme="majorHAnsi"/>
          <w:sz w:val="22"/>
          <w:szCs w:val="22"/>
        </w:rPr>
        <w:t>Es una entidad técnica descentralizada y adscrita al sector movilidad de Bogotá D.C, encargada de conservar la malla vial local, intermedia y rural, así como la ciclo-infraestructura y de atender situaciones imprevistas que dificultan la movilidad. Además, brinda apoyo interinstitucional y realiza obras complementarias para la mejora de la seguridad vial y la adecuación del espacio público peatonal cuando sea requerido, con el fin de mejorar la calidad de vida de los ciudadanos.</w:t>
      </w:r>
    </w:p>
    <w:p w14:paraId="3820119F" w14:textId="77777777" w:rsidR="00AB34DB" w:rsidRPr="006E74A5" w:rsidRDefault="00AB34DB" w:rsidP="00AB34DB">
      <w:pPr>
        <w:pStyle w:val="Standard"/>
        <w:tabs>
          <w:tab w:val="left" w:pos="76"/>
        </w:tabs>
        <w:jc w:val="both"/>
        <w:rPr>
          <w:rFonts w:ascii="Garamond" w:eastAsia="Calibri" w:hAnsi="Garamond" w:cstheme="majorHAnsi"/>
          <w:sz w:val="22"/>
          <w:szCs w:val="22"/>
        </w:rPr>
      </w:pPr>
    </w:p>
    <w:p w14:paraId="4150C0E7" w14:textId="77777777" w:rsidR="00AB34DB" w:rsidRPr="006E74A5" w:rsidRDefault="00AB34DB" w:rsidP="00AB34DB">
      <w:pPr>
        <w:pBdr>
          <w:top w:val="nil"/>
          <w:left w:val="nil"/>
          <w:bottom w:val="nil"/>
          <w:right w:val="nil"/>
          <w:between w:val="nil"/>
        </w:pBdr>
        <w:spacing w:after="0" w:line="240" w:lineRule="auto"/>
        <w:rPr>
          <w:rFonts w:ascii="Garamond" w:eastAsia="Calibri" w:hAnsi="Garamond" w:cstheme="majorHAnsi"/>
          <w:bCs/>
        </w:rPr>
      </w:pPr>
      <w:r w:rsidRPr="006F4024">
        <w:rPr>
          <w:rFonts w:ascii="Garamond" w:eastAsia="Calibri" w:hAnsi="Garamond" w:cstheme="majorHAnsi"/>
          <w:bCs/>
        </w:rPr>
        <w:t>Es así, que la Unidad Administrativa Especial de Rehabilitación y Mantenimiento Vial (UAERMV) es una entidad del orden Distrital con experticia técnica en la ejecución de obras de conservación del Espacio Público para la movilidad Espacio Público para la Movilidad -  EPM, para su planeación, ejecución y seguimiento de las mismas ha desarrollado el Sistema de Información Geográfica Misional y de Apoyo  (SIGMA) cuya base de datos es actualizada permanentemente por un equipo especializado</w:t>
      </w:r>
      <w:r w:rsidRPr="006E74A5">
        <w:rPr>
          <w:rFonts w:ascii="Garamond" w:eastAsia="Calibri" w:hAnsi="Garamond" w:cstheme="majorHAnsi"/>
          <w:bCs/>
        </w:rPr>
        <w:t xml:space="preserve"> en diagnóstico; la calidad de los datos permite determinar las estrategias de intervención más adecuadas  para la conservación de la malla vial y el espacio público; a la fecha el 95% de la malla vial local e intermedia esta diagnosticada, por tal motivo ha desarrollado estrategias colaborativas con las entidades distritales que destinan recursos para la conservación del sistema de movilidad (art. 92 del POT) con objeto de aunar esfuerzos para realizar intervenciones con un mayor impacto en la movilidad y seguridad vial en el menor tiempo posible gracias a que la UAERMV es una ejecutora directa de las obras lo que permite agilidad en los procesos que concluyen con la ejecución de las obras.</w:t>
      </w:r>
    </w:p>
    <w:p w14:paraId="520523FA" w14:textId="77777777" w:rsidR="00AB34DB" w:rsidRPr="006E74A5" w:rsidRDefault="00AB34DB" w:rsidP="00AB34DB">
      <w:pPr>
        <w:pStyle w:val="Standard"/>
        <w:tabs>
          <w:tab w:val="left" w:pos="76"/>
        </w:tabs>
        <w:jc w:val="both"/>
        <w:rPr>
          <w:rFonts w:ascii="Garamond" w:hAnsi="Garamond"/>
          <w:sz w:val="22"/>
          <w:szCs w:val="22"/>
        </w:rPr>
      </w:pPr>
    </w:p>
    <w:p w14:paraId="2A42014B" w14:textId="69290188" w:rsidR="00AB34DB" w:rsidRDefault="00AB34DB" w:rsidP="00AB34DB">
      <w:pPr>
        <w:spacing w:after="0" w:line="240" w:lineRule="auto"/>
        <w:rPr>
          <w:rFonts w:ascii="Garamond" w:hAnsi="Garamond"/>
        </w:rPr>
      </w:pPr>
      <w:r w:rsidRPr="006E74A5">
        <w:rPr>
          <w:rFonts w:ascii="Garamond" w:eastAsia="Calibri" w:hAnsi="Garamond" w:cstheme="majorHAnsi"/>
        </w:rPr>
        <w:t xml:space="preserve">Bajo el anterior entendido, en cumplimiento de las misionalidades de las dos entidades que celebran el presente convenio y con el propósito de llevar a cabo proyectos de infraestructura para el mejoramiento integral del Sistema de Movilidad del Distrito Capital, en el marco del Plan de Desarrollo para el periodo 2024-2027: “BOGOTA CAMINA SEGURA” (Acuerdo 927 de 2024), del Plan de Ordenamiento Territorial POT (Decreto 555 de 2021), del Plan de Desarrollo Local y sustentado técnicamente en los diferentes manuales, guías, procedimientos, cartillas, normatividad y demás documentos citados en el presente documento técnico, </w:t>
      </w:r>
      <w:r w:rsidRPr="006E74A5">
        <w:rPr>
          <w:rFonts w:ascii="Garamond" w:eastAsia="Arial" w:hAnsi="Garamond" w:cs="Arial"/>
        </w:rPr>
        <w:t xml:space="preserve">el </w:t>
      </w:r>
      <w:r w:rsidRPr="006F4024">
        <w:rPr>
          <w:rFonts w:ascii="Garamond" w:eastAsia="Arial" w:hAnsi="Garamond" w:cs="Arial"/>
          <w:b/>
          <w:bCs/>
        </w:rPr>
        <w:t xml:space="preserve">FONDO DE DESARROLLO LOCAL DE </w:t>
      </w:r>
      <w:r w:rsidR="00F323CB">
        <w:rPr>
          <w:rFonts w:ascii="Garamond" w:eastAsia="Arial" w:hAnsi="Garamond" w:cs="Arial"/>
          <w:b/>
          <w:bCs/>
        </w:rPr>
        <w:t>LOS MARTIRES</w:t>
      </w:r>
      <w:r>
        <w:rPr>
          <w:rFonts w:ascii="Garamond" w:eastAsia="Arial" w:hAnsi="Garamond" w:cs="Arial"/>
          <w:b/>
          <w:bCs/>
        </w:rPr>
        <w:t xml:space="preserve"> </w:t>
      </w:r>
      <w:r w:rsidRPr="006E74A5">
        <w:rPr>
          <w:rFonts w:ascii="Garamond" w:eastAsia="Arial" w:hAnsi="Garamond" w:cs="Arial"/>
        </w:rPr>
        <w:t xml:space="preserve">y la </w:t>
      </w:r>
      <w:r w:rsidRPr="006E74A5">
        <w:rPr>
          <w:rFonts w:ascii="Garamond" w:hAnsi="Garamond" w:cs="Arial"/>
          <w:b/>
        </w:rPr>
        <w:t>UNIDAD ADMINISTRATIVA ESPECIAL DE REHABILITACIÓN Y MANTENIMIENTO VIAL – UAERMV</w:t>
      </w:r>
      <w:r w:rsidRPr="006E74A5">
        <w:rPr>
          <w:rFonts w:ascii="Garamond" w:eastAsia="Arial" w:hAnsi="Garamond" w:cs="Arial"/>
        </w:rPr>
        <w:t xml:space="preserve"> han acordado para el cumplimiento de la metas definidas en sus planes de acción 202</w:t>
      </w:r>
      <w:r w:rsidR="004924EB">
        <w:rPr>
          <w:rFonts w:ascii="Garamond" w:eastAsia="Arial" w:hAnsi="Garamond" w:cs="Arial"/>
        </w:rPr>
        <w:t>6</w:t>
      </w:r>
      <w:r w:rsidRPr="006E74A5">
        <w:rPr>
          <w:rFonts w:ascii="Garamond" w:eastAsia="Arial" w:hAnsi="Garamond" w:cs="Arial"/>
        </w:rPr>
        <w:t xml:space="preserve">, aunar esfuerzos para </w:t>
      </w:r>
      <w:r w:rsidRPr="006E74A5">
        <w:rPr>
          <w:rFonts w:ascii="Garamond" w:hAnsi="Garamond"/>
        </w:rPr>
        <w:t xml:space="preserve">lograr la intervención del espacio público y mejorar la movilidad de la localidad de </w:t>
      </w:r>
      <w:r w:rsidR="00F323CB">
        <w:rPr>
          <w:rFonts w:ascii="Garamond" w:hAnsi="Garamond"/>
        </w:rPr>
        <w:t xml:space="preserve">Los </w:t>
      </w:r>
      <w:r w:rsidR="004924EB">
        <w:rPr>
          <w:rFonts w:ascii="Garamond" w:hAnsi="Garamond"/>
        </w:rPr>
        <w:t>Mártires</w:t>
      </w:r>
      <w:r>
        <w:rPr>
          <w:rFonts w:ascii="Garamond" w:hAnsi="Garamond"/>
        </w:rPr>
        <w:t>.</w:t>
      </w:r>
    </w:p>
    <w:p w14:paraId="41385B0F" w14:textId="77777777" w:rsidR="00AB34DB" w:rsidRPr="006E74A5" w:rsidRDefault="00AB34DB" w:rsidP="00AB34DB">
      <w:pPr>
        <w:spacing w:after="0" w:line="240" w:lineRule="auto"/>
        <w:rPr>
          <w:rFonts w:ascii="Garamond" w:hAnsi="Garamond"/>
        </w:rPr>
      </w:pPr>
    </w:p>
    <w:p w14:paraId="2A0A2CDC" w14:textId="77777777" w:rsidR="00AB34DB" w:rsidRDefault="00AB34DB" w:rsidP="00AB34DB">
      <w:pPr>
        <w:spacing w:after="0" w:line="240" w:lineRule="auto"/>
        <w:rPr>
          <w:rFonts w:ascii="Garamond" w:eastAsia="Arial" w:hAnsi="Garamond" w:cs="Arial"/>
        </w:rPr>
      </w:pPr>
      <w:r w:rsidRPr="006E74A5">
        <w:rPr>
          <w:rFonts w:ascii="Garamond" w:eastAsia="Arial" w:hAnsi="Garamond" w:cs="Arial"/>
        </w:rPr>
        <w:t>La implementación del convenio, entonces, comprenderá como mínimo el desarrollo de las actividades señaladas en el presente documento.</w:t>
      </w:r>
    </w:p>
    <w:p w14:paraId="0773F836" w14:textId="77777777" w:rsidR="00AB34DB" w:rsidRDefault="00AB34DB" w:rsidP="008B700A">
      <w:pPr>
        <w:rPr>
          <w:rFonts w:ascii="Garamond" w:hAnsi="Garamond"/>
          <w:b/>
        </w:rPr>
      </w:pPr>
    </w:p>
    <w:p w14:paraId="1A8E1F77" w14:textId="62A2DB88" w:rsidR="00AB34DB" w:rsidRDefault="00C25EC3" w:rsidP="00AB34DB">
      <w:pPr>
        <w:spacing w:after="0" w:line="240" w:lineRule="auto"/>
        <w:rPr>
          <w:rFonts w:ascii="Garamond" w:hAnsi="Garamond"/>
        </w:rPr>
      </w:pPr>
      <w:r w:rsidRPr="00AA11ED">
        <w:rPr>
          <w:rFonts w:ascii="Garamond" w:hAnsi="Garamond"/>
          <w:b/>
        </w:rPr>
        <w:t xml:space="preserve">Objeto: </w:t>
      </w:r>
      <w:r w:rsidR="00AB34DB" w:rsidRPr="006E74A5">
        <w:rPr>
          <w:rFonts w:ascii="Garamond" w:hAnsi="Garamond" w:cs="Arial"/>
        </w:rPr>
        <w:t xml:space="preserve">AUNAR </w:t>
      </w:r>
      <w:r w:rsidR="00AB34DB" w:rsidRPr="006E74A5">
        <w:rPr>
          <w:rFonts w:ascii="Garamond" w:hAnsi="Garamond"/>
        </w:rPr>
        <w:t xml:space="preserve">ESFUERZOS TÉCNICOS, ADMINISTRATIVOS, CONTABLES, FINANCIEROS Y JURÍDICOS PARA LA GESTIÓN E INTERVENCIÓN DEL ESPACIO PÚBLICO PARA LA MOVILIDAD DE LA LOCALIDAD DE </w:t>
      </w:r>
      <w:r w:rsidR="00F323CB">
        <w:rPr>
          <w:rFonts w:ascii="Garamond" w:hAnsi="Garamond"/>
        </w:rPr>
        <w:t>LOS MARTIRES</w:t>
      </w:r>
      <w:r w:rsidR="00AB34DB">
        <w:rPr>
          <w:rFonts w:ascii="Garamond" w:hAnsi="Garamond"/>
        </w:rPr>
        <w:t>.</w:t>
      </w:r>
    </w:p>
    <w:p w14:paraId="5300CC5B" w14:textId="5959C9E8" w:rsidR="006F25DD" w:rsidRPr="00AA11ED" w:rsidRDefault="006F25DD" w:rsidP="008B700A">
      <w:pPr>
        <w:rPr>
          <w:rFonts w:ascii="Garamond" w:hAnsi="Garamond"/>
          <w:b/>
        </w:rPr>
      </w:pPr>
    </w:p>
    <w:p w14:paraId="046AD4B8" w14:textId="5711D6F6" w:rsidR="002C511F" w:rsidRPr="00AA11ED" w:rsidRDefault="00323D77" w:rsidP="0042750F">
      <w:pPr>
        <w:numPr>
          <w:ilvl w:val="0"/>
          <w:numId w:val="3"/>
        </w:numPr>
        <w:rPr>
          <w:rFonts w:ascii="Garamond" w:hAnsi="Garamond"/>
          <w:b/>
          <w:lang w:val="es-ES"/>
        </w:rPr>
      </w:pPr>
      <w:r>
        <w:rPr>
          <w:rFonts w:ascii="Garamond" w:hAnsi="Garamond"/>
          <w:b/>
          <w:lang w:val="es-ES"/>
        </w:rPr>
        <w:t>OBJETIVOS DEL CONVENIO</w:t>
      </w:r>
      <w:r w:rsidR="002C511F" w:rsidRPr="00AA11ED">
        <w:rPr>
          <w:rFonts w:ascii="Garamond" w:hAnsi="Garamond"/>
          <w:b/>
          <w:lang w:val="es-ES"/>
        </w:rPr>
        <w:t>:</w:t>
      </w:r>
      <w:r w:rsidR="008666AA" w:rsidRPr="00AA11ED">
        <w:rPr>
          <w:rFonts w:ascii="Garamond" w:hAnsi="Garamond"/>
          <w:b/>
          <w:lang w:val="es-ES"/>
        </w:rPr>
        <w:t xml:space="preserve"> </w:t>
      </w:r>
    </w:p>
    <w:p w14:paraId="7F05E343" w14:textId="77777777" w:rsidR="00323D77" w:rsidRDefault="00323D77" w:rsidP="00323D77">
      <w:pPr>
        <w:pStyle w:val="Prrafodelista"/>
        <w:numPr>
          <w:ilvl w:val="1"/>
          <w:numId w:val="3"/>
        </w:numPr>
        <w:spacing w:after="0" w:line="240" w:lineRule="auto"/>
        <w:rPr>
          <w:rFonts w:ascii="Garamond" w:eastAsia="Calibri" w:hAnsi="Garamond" w:cstheme="majorHAnsi"/>
        </w:rPr>
      </w:pPr>
      <w:r w:rsidRPr="006E74A5">
        <w:rPr>
          <w:rFonts w:ascii="Garamond" w:eastAsia="Calibri" w:hAnsi="Garamond" w:cstheme="majorHAnsi"/>
        </w:rPr>
        <w:t>Adelantar actividades para realización de diagnósticos, priorizaciones y diseños, así como la determinación de presupuestos, cronogramas, de proyectos que sean priorizados de manera conjunta</w:t>
      </w:r>
      <w:r>
        <w:rPr>
          <w:rFonts w:ascii="Garamond" w:eastAsia="Calibri" w:hAnsi="Garamond" w:cstheme="majorHAnsi"/>
        </w:rPr>
        <w:t>.</w:t>
      </w:r>
      <w:r w:rsidRPr="006E74A5">
        <w:rPr>
          <w:rFonts w:ascii="Garamond" w:eastAsia="Calibri" w:hAnsi="Garamond" w:cstheme="majorHAnsi"/>
        </w:rPr>
        <w:t xml:space="preserve"> </w:t>
      </w:r>
    </w:p>
    <w:p w14:paraId="1FEC8AD6" w14:textId="77777777" w:rsidR="00323D77" w:rsidRPr="00183176" w:rsidRDefault="00323D77" w:rsidP="00323D77">
      <w:pPr>
        <w:pStyle w:val="Prrafodelista"/>
        <w:rPr>
          <w:rFonts w:ascii="Garamond" w:eastAsia="Calibri" w:hAnsi="Garamond" w:cstheme="majorHAnsi"/>
        </w:rPr>
      </w:pPr>
    </w:p>
    <w:p w14:paraId="5096F335" w14:textId="77777777" w:rsidR="00323D77" w:rsidRDefault="00323D77" w:rsidP="00323D77">
      <w:pPr>
        <w:pStyle w:val="Prrafodelista"/>
        <w:numPr>
          <w:ilvl w:val="1"/>
          <w:numId w:val="3"/>
        </w:numPr>
        <w:spacing w:after="0" w:line="240" w:lineRule="auto"/>
        <w:rPr>
          <w:rFonts w:ascii="Garamond" w:eastAsia="Calibri" w:hAnsi="Garamond" w:cstheme="majorHAnsi"/>
        </w:rPr>
      </w:pPr>
      <w:r w:rsidRPr="006E74A5">
        <w:rPr>
          <w:rFonts w:ascii="Garamond" w:eastAsia="Calibri" w:hAnsi="Garamond" w:cstheme="majorHAnsi"/>
        </w:rPr>
        <w:t>Desarrollar las intervenciones definidas en el presente anexo técnico.</w:t>
      </w:r>
    </w:p>
    <w:p w14:paraId="49FD0C53" w14:textId="77777777" w:rsidR="00323D77" w:rsidRPr="00183176" w:rsidRDefault="00323D77" w:rsidP="00323D77">
      <w:pPr>
        <w:pStyle w:val="Prrafodelista"/>
        <w:rPr>
          <w:rFonts w:ascii="Garamond" w:eastAsia="Calibri" w:hAnsi="Garamond" w:cstheme="majorHAnsi"/>
        </w:rPr>
      </w:pPr>
    </w:p>
    <w:p w14:paraId="0BCE9E5A" w14:textId="77777777" w:rsidR="00323D77" w:rsidRDefault="00323D77" w:rsidP="00323D77">
      <w:pPr>
        <w:pStyle w:val="Prrafodelista"/>
        <w:numPr>
          <w:ilvl w:val="1"/>
          <w:numId w:val="3"/>
        </w:numPr>
        <w:spacing w:after="0" w:line="240" w:lineRule="auto"/>
        <w:rPr>
          <w:rFonts w:ascii="Garamond" w:eastAsia="Calibri" w:hAnsi="Garamond" w:cstheme="majorHAnsi"/>
        </w:rPr>
      </w:pPr>
      <w:r w:rsidRPr="006E74A5">
        <w:rPr>
          <w:rFonts w:ascii="Garamond" w:eastAsia="Calibri" w:hAnsi="Garamond" w:cstheme="majorHAnsi"/>
        </w:rPr>
        <w:t xml:space="preserve">Realizar actividades de diagnóstico, diseño, rehabilitación y mantenimiento de los segmentos viales - </w:t>
      </w:r>
      <w:proofErr w:type="spellStart"/>
      <w:r w:rsidRPr="006E74A5">
        <w:rPr>
          <w:rFonts w:ascii="Garamond" w:eastAsia="Calibri" w:hAnsi="Garamond" w:cstheme="majorHAnsi"/>
        </w:rPr>
        <w:t>ClV's</w:t>
      </w:r>
      <w:proofErr w:type="spellEnd"/>
      <w:r w:rsidRPr="006E74A5">
        <w:rPr>
          <w:rFonts w:ascii="Garamond" w:eastAsia="Calibri" w:hAnsi="Garamond" w:cstheme="majorHAnsi"/>
        </w:rPr>
        <w:t xml:space="preserve"> y de acuerdo con la priorización de la localidad para el mejoramiento de la movilidad de los usuarios del sistema de movilidad y el de la calidad de vida de los habitantes de la localidad</w:t>
      </w:r>
    </w:p>
    <w:p w14:paraId="478CA842" w14:textId="77777777" w:rsidR="00323D77" w:rsidRDefault="00323D77" w:rsidP="00323D77">
      <w:pPr>
        <w:spacing w:after="0" w:line="240" w:lineRule="auto"/>
        <w:rPr>
          <w:rFonts w:ascii="Garamond" w:eastAsia="Arial Narrow" w:hAnsi="Garamond" w:cs="Arial"/>
        </w:rPr>
      </w:pPr>
    </w:p>
    <w:p w14:paraId="4977D019" w14:textId="3D69C0B1" w:rsidR="00323D77" w:rsidRPr="00AA11ED" w:rsidRDefault="00323D77" w:rsidP="00323D77">
      <w:pPr>
        <w:numPr>
          <w:ilvl w:val="0"/>
          <w:numId w:val="3"/>
        </w:numPr>
        <w:rPr>
          <w:rFonts w:ascii="Garamond" w:hAnsi="Garamond"/>
          <w:b/>
          <w:lang w:val="es-ES"/>
        </w:rPr>
      </w:pPr>
      <w:r>
        <w:rPr>
          <w:rFonts w:ascii="Garamond" w:hAnsi="Garamond"/>
          <w:b/>
          <w:lang w:val="es-ES"/>
        </w:rPr>
        <w:t>LOCALIZACION GENERAL</w:t>
      </w:r>
      <w:r w:rsidRPr="00AA11ED">
        <w:rPr>
          <w:rFonts w:ascii="Garamond" w:hAnsi="Garamond"/>
          <w:b/>
          <w:lang w:val="es-ES"/>
        </w:rPr>
        <w:t xml:space="preserve">: </w:t>
      </w:r>
    </w:p>
    <w:p w14:paraId="4E6CC23B" w14:textId="77777777" w:rsidR="00323D77" w:rsidRDefault="00323D77" w:rsidP="00323D77">
      <w:pPr>
        <w:spacing w:after="0" w:line="240" w:lineRule="auto"/>
        <w:rPr>
          <w:rFonts w:ascii="Garamond" w:eastAsia="Arial Narrow" w:hAnsi="Garamond" w:cs="Arial"/>
        </w:rPr>
      </w:pPr>
    </w:p>
    <w:p w14:paraId="7A1FBCE5" w14:textId="7F34C860" w:rsidR="00323D77" w:rsidRDefault="00323D77" w:rsidP="00323D77">
      <w:pPr>
        <w:spacing w:after="0" w:line="240" w:lineRule="auto"/>
        <w:rPr>
          <w:rFonts w:ascii="Garamond" w:eastAsia="Calibri" w:hAnsi="Garamond" w:cstheme="majorHAnsi"/>
        </w:rPr>
      </w:pPr>
      <w:r w:rsidRPr="006E74A5">
        <w:rPr>
          <w:rFonts w:ascii="Garamond" w:eastAsia="Arial Narrow" w:hAnsi="Garamond" w:cs="Arial"/>
        </w:rPr>
        <w:t>De conformidad con la necesidad planteada y las obligaciones pactadas, l</w:t>
      </w:r>
      <w:r w:rsidRPr="006E74A5">
        <w:rPr>
          <w:rFonts w:ascii="Garamond" w:eastAsia="Calibri" w:hAnsi="Garamond" w:cstheme="majorHAnsi"/>
        </w:rPr>
        <w:t xml:space="preserve">a ejecución del convenio será en todos los elementos del Espacio Público para la Movilidad ubicados o de competencia de la localidad de </w:t>
      </w:r>
      <w:r w:rsidR="00F323CB">
        <w:rPr>
          <w:rFonts w:ascii="Garamond" w:eastAsia="Calibri" w:hAnsi="Garamond" w:cstheme="majorHAnsi"/>
        </w:rPr>
        <w:t xml:space="preserve">Los </w:t>
      </w:r>
      <w:r w:rsidR="004924EB">
        <w:rPr>
          <w:rFonts w:ascii="Garamond" w:eastAsia="Calibri" w:hAnsi="Garamond" w:cstheme="majorHAnsi"/>
        </w:rPr>
        <w:t>Mártires</w:t>
      </w:r>
      <w:r w:rsidRPr="006E74A5">
        <w:rPr>
          <w:rFonts w:ascii="Garamond" w:eastAsia="Calibri" w:hAnsi="Garamond" w:cstheme="majorHAnsi"/>
        </w:rPr>
        <w:t xml:space="preserve">, en la ciudad de Bogotá D.C. </w:t>
      </w:r>
    </w:p>
    <w:p w14:paraId="2E9EA3FD" w14:textId="77777777" w:rsidR="00323D77" w:rsidRPr="004A3885" w:rsidRDefault="00323D77" w:rsidP="00323D77">
      <w:pPr>
        <w:spacing w:after="0" w:line="240" w:lineRule="auto"/>
        <w:rPr>
          <w:rFonts w:ascii="Garamond" w:eastAsia="Calibri" w:hAnsi="Garamond" w:cstheme="majorHAnsi"/>
          <w:color w:val="FF0000"/>
        </w:rPr>
      </w:pPr>
    </w:p>
    <w:p w14:paraId="1705F20F" w14:textId="72B39639" w:rsidR="00323D77" w:rsidRPr="00256C72" w:rsidRDefault="004924EB" w:rsidP="004924EB">
      <w:pPr>
        <w:pStyle w:val="Ttulo1"/>
        <w:numPr>
          <w:ilvl w:val="0"/>
          <w:numId w:val="0"/>
        </w:numPr>
        <w:ind w:left="360"/>
        <w:jc w:val="center"/>
        <w:rPr>
          <w:rFonts w:ascii="Garamond" w:eastAsia="Calibri" w:hAnsi="Garamond" w:cstheme="majorHAnsi"/>
          <w:sz w:val="22"/>
          <w:szCs w:val="22"/>
        </w:rPr>
      </w:pPr>
      <w:r w:rsidRPr="004924EB">
        <w:rPr>
          <w:rFonts w:ascii="Garamond" w:eastAsia="Calibri" w:hAnsi="Garamond" w:cstheme="majorHAnsi"/>
          <w:noProof/>
          <w:sz w:val="22"/>
          <w:szCs w:val="22"/>
        </w:rPr>
        <w:lastRenderedPageBreak/>
        <w:drawing>
          <wp:inline distT="0" distB="0" distL="0" distR="0" wp14:anchorId="6E96F760" wp14:editId="23183028">
            <wp:extent cx="3829772" cy="4747260"/>
            <wp:effectExtent l="0" t="0" r="0" b="0"/>
            <wp:docPr id="16964190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419074" name=""/>
                    <pic:cNvPicPr/>
                  </pic:nvPicPr>
                  <pic:blipFill>
                    <a:blip r:embed="rId11"/>
                    <a:stretch>
                      <a:fillRect/>
                    </a:stretch>
                  </pic:blipFill>
                  <pic:spPr>
                    <a:xfrm>
                      <a:off x="0" y="0"/>
                      <a:ext cx="3835024" cy="4753770"/>
                    </a:xfrm>
                    <a:prstGeom prst="rect">
                      <a:avLst/>
                    </a:prstGeom>
                  </pic:spPr>
                </pic:pic>
              </a:graphicData>
            </a:graphic>
          </wp:inline>
        </w:drawing>
      </w:r>
    </w:p>
    <w:p w14:paraId="181F7570" w14:textId="35749B2F" w:rsidR="00D50892" w:rsidRPr="00AA11ED" w:rsidRDefault="00D50892" w:rsidP="00D50892">
      <w:pPr>
        <w:rPr>
          <w:rFonts w:ascii="Garamond" w:hAnsi="Garamond"/>
          <w:lang w:val="es-ES"/>
        </w:rPr>
      </w:pPr>
    </w:p>
    <w:tbl>
      <w:tblPr>
        <w:tblStyle w:val="TableNormal"/>
        <w:tblpPr w:leftFromText="141" w:rightFromText="141" w:vertAnchor="text" w:horzAnchor="page" w:tblpX="1636" w:tblpY="649"/>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60"/>
        <w:gridCol w:w="1786"/>
        <w:gridCol w:w="2018"/>
        <w:gridCol w:w="1329"/>
        <w:gridCol w:w="1318"/>
      </w:tblGrid>
      <w:tr w:rsidR="00E772BF" w:rsidRPr="00AA11ED" w14:paraId="667072DD" w14:textId="77777777" w:rsidTr="00E772BF">
        <w:trPr>
          <w:trHeight w:val="360"/>
        </w:trPr>
        <w:tc>
          <w:tcPr>
            <w:tcW w:w="1360" w:type="dxa"/>
            <w:shd w:val="clear" w:color="auto" w:fill="E4E4E4"/>
          </w:tcPr>
          <w:p w14:paraId="709AD06D" w14:textId="77777777" w:rsidR="00E772BF" w:rsidRPr="00AA11ED" w:rsidRDefault="00E772BF" w:rsidP="00E772BF">
            <w:pPr>
              <w:pStyle w:val="TableParagraph"/>
              <w:spacing w:before="3"/>
              <w:ind w:left="176" w:right="167"/>
              <w:jc w:val="center"/>
              <w:rPr>
                <w:rFonts w:ascii="Garamond" w:eastAsia="Times New Roman" w:hAnsi="Garamond" w:cs="Times New Roman"/>
                <w:b/>
                <w:bCs/>
                <w:sz w:val="20"/>
                <w:lang w:eastAsia="es-CO"/>
              </w:rPr>
            </w:pPr>
            <w:r w:rsidRPr="00AA11ED">
              <w:rPr>
                <w:rFonts w:ascii="Garamond" w:eastAsia="Times New Roman" w:hAnsi="Garamond" w:cs="Times New Roman"/>
                <w:b/>
                <w:bCs/>
                <w:sz w:val="20"/>
                <w:lang w:eastAsia="es-CO"/>
              </w:rPr>
              <w:t>NUMERO</w:t>
            </w:r>
          </w:p>
        </w:tc>
        <w:tc>
          <w:tcPr>
            <w:tcW w:w="1786" w:type="dxa"/>
            <w:shd w:val="clear" w:color="auto" w:fill="E4E4E4"/>
          </w:tcPr>
          <w:p w14:paraId="7E3AC80D" w14:textId="77777777" w:rsidR="00E772BF" w:rsidRPr="00AA11ED" w:rsidRDefault="00E772BF" w:rsidP="00E772BF">
            <w:pPr>
              <w:pStyle w:val="TableParagraph"/>
              <w:spacing w:before="3"/>
              <w:ind w:left="463" w:right="447"/>
              <w:jc w:val="center"/>
              <w:rPr>
                <w:rFonts w:ascii="Garamond" w:eastAsia="Times New Roman" w:hAnsi="Garamond" w:cs="Times New Roman"/>
                <w:b/>
                <w:bCs/>
                <w:sz w:val="20"/>
                <w:lang w:eastAsia="es-CO"/>
              </w:rPr>
            </w:pPr>
            <w:r w:rsidRPr="00AA11ED">
              <w:rPr>
                <w:rFonts w:ascii="Garamond" w:eastAsia="Times New Roman" w:hAnsi="Garamond" w:cs="Times New Roman"/>
                <w:b/>
                <w:bCs/>
                <w:sz w:val="20"/>
                <w:lang w:eastAsia="es-CO"/>
              </w:rPr>
              <w:t>UPZ</w:t>
            </w:r>
          </w:p>
        </w:tc>
        <w:tc>
          <w:tcPr>
            <w:tcW w:w="2018" w:type="dxa"/>
            <w:shd w:val="clear" w:color="auto" w:fill="E4E4E4"/>
          </w:tcPr>
          <w:p w14:paraId="30198EA3" w14:textId="77777777" w:rsidR="00E772BF" w:rsidRPr="00AA11ED" w:rsidRDefault="00E772BF" w:rsidP="00E772BF">
            <w:pPr>
              <w:pStyle w:val="TableParagraph"/>
              <w:spacing w:before="3"/>
              <w:ind w:left="112" w:right="95"/>
              <w:jc w:val="center"/>
              <w:rPr>
                <w:rFonts w:ascii="Garamond" w:eastAsia="Times New Roman" w:hAnsi="Garamond" w:cs="Times New Roman"/>
                <w:b/>
                <w:bCs/>
                <w:sz w:val="20"/>
                <w:lang w:eastAsia="es-CO"/>
              </w:rPr>
            </w:pPr>
            <w:r w:rsidRPr="00AA11ED">
              <w:rPr>
                <w:rFonts w:ascii="Garamond" w:eastAsia="Times New Roman" w:hAnsi="Garamond" w:cs="Times New Roman"/>
                <w:b/>
                <w:bCs/>
                <w:sz w:val="20"/>
                <w:lang w:eastAsia="es-CO"/>
              </w:rPr>
              <w:t>CLASIFICACION</w:t>
            </w:r>
          </w:p>
        </w:tc>
        <w:tc>
          <w:tcPr>
            <w:tcW w:w="1329" w:type="dxa"/>
            <w:shd w:val="clear" w:color="auto" w:fill="E4E4E4"/>
          </w:tcPr>
          <w:p w14:paraId="5F81DD0D" w14:textId="77777777" w:rsidR="00E772BF" w:rsidRPr="00AA11ED" w:rsidRDefault="00E772BF" w:rsidP="00E772BF">
            <w:pPr>
              <w:pStyle w:val="TableParagraph"/>
              <w:spacing w:before="3"/>
              <w:ind w:left="241" w:right="230"/>
              <w:jc w:val="center"/>
              <w:rPr>
                <w:rFonts w:ascii="Garamond" w:eastAsia="Times New Roman" w:hAnsi="Garamond" w:cs="Times New Roman"/>
                <w:b/>
                <w:bCs/>
                <w:sz w:val="20"/>
                <w:lang w:eastAsia="es-CO"/>
              </w:rPr>
            </w:pPr>
            <w:r w:rsidRPr="00AA11ED">
              <w:rPr>
                <w:rFonts w:ascii="Garamond" w:eastAsia="Times New Roman" w:hAnsi="Garamond" w:cs="Times New Roman"/>
                <w:b/>
                <w:bCs/>
                <w:sz w:val="20"/>
                <w:lang w:eastAsia="es-CO"/>
              </w:rPr>
              <w:t>AREA (Ha)</w:t>
            </w:r>
          </w:p>
        </w:tc>
        <w:tc>
          <w:tcPr>
            <w:tcW w:w="1318" w:type="dxa"/>
            <w:shd w:val="clear" w:color="auto" w:fill="E4E4E4"/>
          </w:tcPr>
          <w:p w14:paraId="140A33C3" w14:textId="77777777" w:rsidR="00E772BF" w:rsidRPr="00AA11ED" w:rsidRDefault="00E772BF" w:rsidP="00E772BF">
            <w:pPr>
              <w:pStyle w:val="TableParagraph"/>
              <w:spacing w:before="3"/>
              <w:ind w:left="16"/>
              <w:jc w:val="center"/>
              <w:rPr>
                <w:rFonts w:ascii="Garamond" w:eastAsia="Times New Roman" w:hAnsi="Garamond" w:cs="Times New Roman"/>
                <w:b/>
                <w:bCs/>
                <w:sz w:val="20"/>
                <w:lang w:eastAsia="es-CO"/>
              </w:rPr>
            </w:pPr>
            <w:r w:rsidRPr="00AA11ED">
              <w:rPr>
                <w:rFonts w:ascii="Garamond" w:eastAsia="Times New Roman" w:hAnsi="Garamond" w:cs="Times New Roman"/>
                <w:b/>
                <w:bCs/>
                <w:sz w:val="20"/>
                <w:lang w:eastAsia="es-CO"/>
              </w:rPr>
              <w:t>%</w:t>
            </w:r>
          </w:p>
        </w:tc>
      </w:tr>
      <w:tr w:rsidR="00E772BF" w:rsidRPr="00AA11ED" w14:paraId="5B8996A9" w14:textId="77777777" w:rsidTr="00E772BF">
        <w:trPr>
          <w:trHeight w:val="357"/>
        </w:trPr>
        <w:tc>
          <w:tcPr>
            <w:tcW w:w="1360" w:type="dxa"/>
          </w:tcPr>
          <w:p w14:paraId="02F37CE1" w14:textId="4B087665" w:rsidR="00E772BF" w:rsidRPr="00AA11ED" w:rsidRDefault="001A3DE1" w:rsidP="00E772BF">
            <w:pPr>
              <w:pStyle w:val="TableParagraph"/>
              <w:spacing w:before="1"/>
              <w:ind w:left="174" w:right="167"/>
              <w:jc w:val="center"/>
              <w:rPr>
                <w:rFonts w:ascii="Garamond" w:eastAsia="Times New Roman" w:hAnsi="Garamond" w:cs="Times New Roman"/>
                <w:sz w:val="20"/>
                <w:lang w:eastAsia="es-CO"/>
              </w:rPr>
            </w:pPr>
            <w:r>
              <w:rPr>
                <w:rFonts w:ascii="Garamond" w:eastAsia="Times New Roman" w:hAnsi="Garamond" w:cs="Times New Roman"/>
                <w:sz w:val="20"/>
                <w:lang w:eastAsia="es-CO"/>
              </w:rPr>
              <w:t>37</w:t>
            </w:r>
          </w:p>
        </w:tc>
        <w:tc>
          <w:tcPr>
            <w:tcW w:w="1786" w:type="dxa"/>
          </w:tcPr>
          <w:p w14:paraId="520A6920" w14:textId="224DECE1" w:rsidR="00E772BF" w:rsidRPr="00AA11ED" w:rsidRDefault="001A3DE1" w:rsidP="00E772BF">
            <w:pPr>
              <w:pStyle w:val="TableParagraph"/>
              <w:spacing w:before="1"/>
              <w:ind w:left="463" w:right="452"/>
              <w:jc w:val="center"/>
              <w:rPr>
                <w:rFonts w:ascii="Garamond" w:eastAsia="Times New Roman" w:hAnsi="Garamond" w:cs="Times New Roman"/>
                <w:sz w:val="20"/>
                <w:lang w:eastAsia="es-CO"/>
              </w:rPr>
            </w:pPr>
            <w:r>
              <w:rPr>
                <w:rFonts w:ascii="Garamond" w:eastAsia="Times New Roman" w:hAnsi="Garamond" w:cs="Times New Roman"/>
                <w:sz w:val="20"/>
                <w:lang w:eastAsia="es-CO"/>
              </w:rPr>
              <w:t>Santa Isabel</w:t>
            </w:r>
          </w:p>
        </w:tc>
        <w:tc>
          <w:tcPr>
            <w:tcW w:w="2018" w:type="dxa"/>
          </w:tcPr>
          <w:p w14:paraId="746FE2F7" w14:textId="77777777" w:rsidR="00E772BF" w:rsidRPr="00AA11ED" w:rsidRDefault="00E772BF" w:rsidP="00E772BF">
            <w:pPr>
              <w:pStyle w:val="TableParagraph"/>
              <w:spacing w:before="1"/>
              <w:ind w:left="112" w:right="97"/>
              <w:jc w:val="center"/>
              <w:rPr>
                <w:rFonts w:ascii="Garamond" w:eastAsia="Times New Roman" w:hAnsi="Garamond" w:cs="Times New Roman"/>
                <w:sz w:val="20"/>
                <w:lang w:eastAsia="es-CO"/>
              </w:rPr>
            </w:pPr>
            <w:r w:rsidRPr="00AA11ED">
              <w:rPr>
                <w:rFonts w:ascii="Garamond" w:eastAsia="Times New Roman" w:hAnsi="Garamond" w:cs="Times New Roman"/>
                <w:sz w:val="20"/>
                <w:lang w:eastAsia="es-CO"/>
              </w:rPr>
              <w:t>Residencial Consolidado</w:t>
            </w:r>
          </w:p>
        </w:tc>
        <w:tc>
          <w:tcPr>
            <w:tcW w:w="1329" w:type="dxa"/>
          </w:tcPr>
          <w:p w14:paraId="0363159F" w14:textId="4FE16B7D" w:rsidR="00E772BF" w:rsidRPr="00AA11ED" w:rsidRDefault="001A3DE1" w:rsidP="00E772BF">
            <w:pPr>
              <w:pStyle w:val="TableParagraph"/>
              <w:spacing w:before="1"/>
              <w:ind w:left="241" w:right="230"/>
              <w:jc w:val="center"/>
              <w:rPr>
                <w:rFonts w:ascii="Garamond" w:eastAsia="Times New Roman" w:hAnsi="Garamond" w:cs="Times New Roman"/>
                <w:sz w:val="20"/>
                <w:lang w:eastAsia="es-CO"/>
              </w:rPr>
            </w:pPr>
            <w:r>
              <w:rPr>
                <w:rFonts w:ascii="Garamond" w:eastAsia="Times New Roman" w:hAnsi="Garamond" w:cs="Times New Roman"/>
                <w:sz w:val="20"/>
                <w:lang w:eastAsia="es-CO"/>
              </w:rPr>
              <w:t>200</w:t>
            </w:r>
          </w:p>
        </w:tc>
        <w:tc>
          <w:tcPr>
            <w:tcW w:w="1318" w:type="dxa"/>
          </w:tcPr>
          <w:p w14:paraId="0B4119DB" w14:textId="0DCE7969" w:rsidR="00E772BF" w:rsidRPr="00AA11ED" w:rsidRDefault="001A3DE1" w:rsidP="00E772BF">
            <w:pPr>
              <w:pStyle w:val="TableParagraph"/>
              <w:spacing w:before="1"/>
              <w:ind w:left="414" w:right="399"/>
              <w:jc w:val="center"/>
              <w:rPr>
                <w:rFonts w:ascii="Garamond" w:eastAsia="Times New Roman" w:hAnsi="Garamond" w:cs="Times New Roman"/>
                <w:sz w:val="20"/>
                <w:lang w:eastAsia="es-CO"/>
              </w:rPr>
            </w:pPr>
            <w:r>
              <w:rPr>
                <w:rFonts w:ascii="Garamond" w:eastAsia="Times New Roman" w:hAnsi="Garamond" w:cs="Times New Roman"/>
                <w:sz w:val="20"/>
                <w:lang w:eastAsia="es-CO"/>
              </w:rPr>
              <w:t>30</w:t>
            </w:r>
            <w:r w:rsidR="00E772BF" w:rsidRPr="00AA11ED">
              <w:rPr>
                <w:rFonts w:ascii="Garamond" w:eastAsia="Times New Roman" w:hAnsi="Garamond" w:cs="Times New Roman"/>
                <w:sz w:val="20"/>
                <w:lang w:eastAsia="es-CO"/>
              </w:rPr>
              <w:t>.</w:t>
            </w:r>
            <w:r>
              <w:rPr>
                <w:rFonts w:ascii="Garamond" w:eastAsia="Times New Roman" w:hAnsi="Garamond" w:cs="Times New Roman"/>
                <w:sz w:val="20"/>
                <w:lang w:eastAsia="es-CO"/>
              </w:rPr>
              <w:t>8</w:t>
            </w:r>
            <w:r w:rsidR="00E772BF" w:rsidRPr="00AA11ED">
              <w:rPr>
                <w:rFonts w:ascii="Garamond" w:eastAsia="Times New Roman" w:hAnsi="Garamond" w:cs="Times New Roman"/>
                <w:sz w:val="20"/>
                <w:lang w:eastAsia="es-CO"/>
              </w:rPr>
              <w:t>%</w:t>
            </w:r>
          </w:p>
        </w:tc>
      </w:tr>
      <w:tr w:rsidR="00E772BF" w:rsidRPr="00AA11ED" w14:paraId="7CE6F457" w14:textId="77777777" w:rsidTr="00E772BF">
        <w:trPr>
          <w:trHeight w:val="477"/>
        </w:trPr>
        <w:tc>
          <w:tcPr>
            <w:tcW w:w="1360" w:type="dxa"/>
          </w:tcPr>
          <w:p w14:paraId="4865C2C3" w14:textId="150B2B6D" w:rsidR="00E772BF" w:rsidRPr="00AA11ED" w:rsidRDefault="001A3DE1" w:rsidP="00E772BF">
            <w:pPr>
              <w:pStyle w:val="TableParagraph"/>
              <w:spacing w:before="3"/>
              <w:ind w:left="174" w:right="167"/>
              <w:jc w:val="center"/>
              <w:rPr>
                <w:rFonts w:ascii="Garamond" w:eastAsia="Times New Roman" w:hAnsi="Garamond" w:cs="Times New Roman"/>
                <w:sz w:val="20"/>
                <w:lang w:eastAsia="es-CO"/>
              </w:rPr>
            </w:pPr>
            <w:r>
              <w:rPr>
                <w:rFonts w:ascii="Garamond" w:eastAsia="Times New Roman" w:hAnsi="Garamond" w:cs="Times New Roman"/>
                <w:sz w:val="20"/>
                <w:lang w:eastAsia="es-CO"/>
              </w:rPr>
              <w:t>102</w:t>
            </w:r>
          </w:p>
        </w:tc>
        <w:tc>
          <w:tcPr>
            <w:tcW w:w="1786" w:type="dxa"/>
          </w:tcPr>
          <w:p w14:paraId="02ED85DD" w14:textId="383310F3" w:rsidR="00E772BF" w:rsidRPr="00AA11ED" w:rsidRDefault="001A3DE1" w:rsidP="00E772BF">
            <w:pPr>
              <w:pStyle w:val="TableParagraph"/>
              <w:spacing w:before="3"/>
              <w:ind w:left="463" w:right="447"/>
              <w:jc w:val="center"/>
              <w:rPr>
                <w:rFonts w:ascii="Garamond" w:eastAsia="Times New Roman" w:hAnsi="Garamond" w:cs="Times New Roman"/>
                <w:sz w:val="20"/>
                <w:lang w:eastAsia="es-CO"/>
              </w:rPr>
            </w:pPr>
            <w:r>
              <w:rPr>
                <w:rFonts w:ascii="Garamond" w:eastAsia="Times New Roman" w:hAnsi="Garamond" w:cs="Times New Roman"/>
                <w:sz w:val="20"/>
                <w:lang w:eastAsia="es-CO"/>
              </w:rPr>
              <w:t>La Sabana</w:t>
            </w:r>
          </w:p>
        </w:tc>
        <w:tc>
          <w:tcPr>
            <w:tcW w:w="2018" w:type="dxa"/>
          </w:tcPr>
          <w:p w14:paraId="6D352CA6" w14:textId="2F24E98A" w:rsidR="00E772BF" w:rsidRPr="00AA11ED" w:rsidRDefault="001A3DE1" w:rsidP="00E772BF">
            <w:pPr>
              <w:pStyle w:val="TableParagraph"/>
              <w:spacing w:before="3"/>
              <w:ind w:left="112" w:right="97"/>
              <w:jc w:val="center"/>
              <w:rPr>
                <w:rFonts w:ascii="Garamond" w:eastAsia="Times New Roman" w:hAnsi="Garamond" w:cs="Times New Roman"/>
                <w:sz w:val="20"/>
                <w:lang w:eastAsia="es-CO"/>
              </w:rPr>
            </w:pPr>
            <w:r>
              <w:rPr>
                <w:rFonts w:ascii="Garamond" w:eastAsia="Times New Roman" w:hAnsi="Garamond" w:cs="Times New Roman"/>
                <w:sz w:val="20"/>
                <w:lang w:eastAsia="es-CO"/>
              </w:rPr>
              <w:t>Comercial</w:t>
            </w:r>
          </w:p>
        </w:tc>
        <w:tc>
          <w:tcPr>
            <w:tcW w:w="1329" w:type="dxa"/>
          </w:tcPr>
          <w:p w14:paraId="2BFED372" w14:textId="0AB8650E" w:rsidR="00E772BF" w:rsidRPr="00AA11ED" w:rsidRDefault="001A3DE1" w:rsidP="00E772BF">
            <w:pPr>
              <w:pStyle w:val="TableParagraph"/>
              <w:spacing w:before="3"/>
              <w:ind w:left="241" w:right="230"/>
              <w:jc w:val="center"/>
              <w:rPr>
                <w:rFonts w:ascii="Garamond" w:eastAsia="Times New Roman" w:hAnsi="Garamond" w:cs="Times New Roman"/>
                <w:sz w:val="20"/>
                <w:lang w:eastAsia="es-CO"/>
              </w:rPr>
            </w:pPr>
            <w:r>
              <w:rPr>
                <w:rFonts w:ascii="Garamond" w:eastAsia="Times New Roman" w:hAnsi="Garamond" w:cs="Times New Roman"/>
                <w:sz w:val="20"/>
                <w:lang w:eastAsia="es-CO"/>
              </w:rPr>
              <w:t>451</w:t>
            </w:r>
          </w:p>
        </w:tc>
        <w:tc>
          <w:tcPr>
            <w:tcW w:w="1318" w:type="dxa"/>
          </w:tcPr>
          <w:p w14:paraId="6A027F9F" w14:textId="7045CEC0" w:rsidR="00E772BF" w:rsidRPr="00AA11ED" w:rsidRDefault="001A3DE1" w:rsidP="00E772BF">
            <w:pPr>
              <w:pStyle w:val="TableParagraph"/>
              <w:spacing w:before="3"/>
              <w:ind w:left="414" w:right="399"/>
              <w:jc w:val="center"/>
              <w:rPr>
                <w:rFonts w:ascii="Garamond" w:eastAsia="Times New Roman" w:hAnsi="Garamond" w:cs="Times New Roman"/>
                <w:sz w:val="20"/>
                <w:lang w:eastAsia="es-CO"/>
              </w:rPr>
            </w:pPr>
            <w:r>
              <w:rPr>
                <w:rFonts w:ascii="Garamond" w:eastAsia="Times New Roman" w:hAnsi="Garamond" w:cs="Times New Roman"/>
                <w:sz w:val="20"/>
                <w:lang w:eastAsia="es-CO"/>
              </w:rPr>
              <w:t>69</w:t>
            </w:r>
            <w:r w:rsidR="00E772BF" w:rsidRPr="00AA11ED">
              <w:rPr>
                <w:rFonts w:ascii="Garamond" w:eastAsia="Times New Roman" w:hAnsi="Garamond" w:cs="Times New Roman"/>
                <w:sz w:val="20"/>
                <w:lang w:eastAsia="es-CO"/>
              </w:rPr>
              <w:t>.</w:t>
            </w:r>
            <w:r>
              <w:rPr>
                <w:rFonts w:ascii="Garamond" w:eastAsia="Times New Roman" w:hAnsi="Garamond" w:cs="Times New Roman"/>
                <w:sz w:val="20"/>
                <w:lang w:eastAsia="es-CO"/>
              </w:rPr>
              <w:t>2</w:t>
            </w:r>
            <w:r w:rsidR="00E772BF" w:rsidRPr="00AA11ED">
              <w:rPr>
                <w:rFonts w:ascii="Garamond" w:eastAsia="Times New Roman" w:hAnsi="Garamond" w:cs="Times New Roman"/>
                <w:sz w:val="20"/>
                <w:lang w:eastAsia="es-CO"/>
              </w:rPr>
              <w:t>%</w:t>
            </w:r>
          </w:p>
        </w:tc>
      </w:tr>
      <w:tr w:rsidR="00E772BF" w:rsidRPr="00AA11ED" w14:paraId="2F1EAD87" w14:textId="77777777" w:rsidTr="00E772BF">
        <w:trPr>
          <w:trHeight w:val="359"/>
        </w:trPr>
        <w:tc>
          <w:tcPr>
            <w:tcW w:w="7811" w:type="dxa"/>
            <w:gridSpan w:val="5"/>
          </w:tcPr>
          <w:p w14:paraId="6343EFF2" w14:textId="77777777" w:rsidR="00E772BF" w:rsidRPr="00AA11ED" w:rsidRDefault="00E772BF" w:rsidP="00E772BF">
            <w:pPr>
              <w:pStyle w:val="TableParagraph"/>
              <w:spacing w:before="1"/>
              <w:ind w:left="107"/>
              <w:rPr>
                <w:rFonts w:ascii="Garamond" w:hAnsi="Garamond"/>
                <w:sz w:val="16"/>
              </w:rPr>
            </w:pPr>
          </w:p>
          <w:p w14:paraId="4058F0E7" w14:textId="5F3331F4" w:rsidR="00E772BF" w:rsidRPr="00AA11ED" w:rsidRDefault="00E772BF" w:rsidP="00E772BF">
            <w:pPr>
              <w:pStyle w:val="TableParagraph"/>
              <w:spacing w:before="1"/>
              <w:ind w:left="107"/>
              <w:rPr>
                <w:rFonts w:ascii="Garamond" w:hAnsi="Garamond"/>
                <w:sz w:val="16"/>
              </w:rPr>
            </w:pPr>
            <w:r w:rsidRPr="00AA11ED">
              <w:rPr>
                <w:rFonts w:ascii="Garamond" w:hAnsi="Garamond"/>
                <w:sz w:val="16"/>
              </w:rPr>
              <w:t>Tabla</w:t>
            </w:r>
            <w:r w:rsidRPr="00AA11ED">
              <w:rPr>
                <w:rFonts w:ascii="Garamond" w:hAnsi="Garamond"/>
                <w:spacing w:val="-2"/>
                <w:sz w:val="16"/>
              </w:rPr>
              <w:t xml:space="preserve"> </w:t>
            </w:r>
            <w:proofErr w:type="spellStart"/>
            <w:r w:rsidRPr="00AA11ED">
              <w:rPr>
                <w:rFonts w:ascii="Garamond" w:hAnsi="Garamond"/>
                <w:sz w:val="16"/>
              </w:rPr>
              <w:t>Nº</w:t>
            </w:r>
            <w:proofErr w:type="spellEnd"/>
            <w:r w:rsidRPr="00AA11ED">
              <w:rPr>
                <w:rFonts w:ascii="Garamond" w:hAnsi="Garamond"/>
                <w:spacing w:val="-3"/>
                <w:sz w:val="16"/>
              </w:rPr>
              <w:t xml:space="preserve"> </w:t>
            </w:r>
            <w:r w:rsidRPr="00AA11ED">
              <w:rPr>
                <w:rFonts w:ascii="Garamond" w:hAnsi="Garamond"/>
                <w:sz w:val="16"/>
              </w:rPr>
              <w:t>1</w:t>
            </w:r>
            <w:r w:rsidRPr="00AA11ED">
              <w:rPr>
                <w:rFonts w:ascii="Garamond" w:hAnsi="Garamond"/>
                <w:spacing w:val="-2"/>
                <w:sz w:val="16"/>
              </w:rPr>
              <w:t xml:space="preserve"> </w:t>
            </w:r>
            <w:r w:rsidRPr="00AA11ED">
              <w:rPr>
                <w:rFonts w:ascii="Garamond" w:hAnsi="Garamond"/>
                <w:sz w:val="16"/>
              </w:rPr>
              <w:t>UPZ</w:t>
            </w:r>
            <w:r w:rsidRPr="00AA11ED">
              <w:rPr>
                <w:rFonts w:ascii="Garamond" w:hAnsi="Garamond"/>
                <w:spacing w:val="-1"/>
                <w:sz w:val="16"/>
              </w:rPr>
              <w:t xml:space="preserve"> </w:t>
            </w:r>
            <w:r w:rsidRPr="00AA11ED">
              <w:rPr>
                <w:rFonts w:ascii="Garamond" w:hAnsi="Garamond"/>
                <w:sz w:val="16"/>
              </w:rPr>
              <w:t>DE LA</w:t>
            </w:r>
            <w:r w:rsidRPr="00AA11ED">
              <w:rPr>
                <w:rFonts w:ascii="Garamond" w:hAnsi="Garamond"/>
                <w:spacing w:val="-1"/>
                <w:sz w:val="16"/>
              </w:rPr>
              <w:t xml:space="preserve"> </w:t>
            </w:r>
            <w:r w:rsidRPr="00AA11ED">
              <w:rPr>
                <w:rFonts w:ascii="Garamond" w:hAnsi="Garamond"/>
                <w:sz w:val="16"/>
              </w:rPr>
              <w:t>LOCALIDAD</w:t>
            </w:r>
            <w:r w:rsidRPr="00AA11ED">
              <w:rPr>
                <w:rFonts w:ascii="Garamond" w:hAnsi="Garamond"/>
                <w:spacing w:val="-2"/>
                <w:sz w:val="16"/>
              </w:rPr>
              <w:t xml:space="preserve"> </w:t>
            </w:r>
            <w:r w:rsidRPr="00AA11ED">
              <w:rPr>
                <w:rFonts w:ascii="Garamond" w:hAnsi="Garamond"/>
                <w:sz w:val="16"/>
              </w:rPr>
              <w:t>DE</w:t>
            </w:r>
            <w:r w:rsidRPr="00AA11ED">
              <w:rPr>
                <w:rFonts w:ascii="Garamond" w:hAnsi="Garamond"/>
                <w:spacing w:val="-3"/>
                <w:sz w:val="16"/>
              </w:rPr>
              <w:t xml:space="preserve"> </w:t>
            </w:r>
            <w:r w:rsidR="00F323CB">
              <w:rPr>
                <w:rFonts w:ascii="Garamond" w:hAnsi="Garamond"/>
                <w:sz w:val="16"/>
              </w:rPr>
              <w:t>LOS MARTIRES</w:t>
            </w:r>
          </w:p>
        </w:tc>
      </w:tr>
    </w:tbl>
    <w:p w14:paraId="09E908DB" w14:textId="367A3D11" w:rsidR="00DE0253" w:rsidRPr="00AA11ED" w:rsidRDefault="00DE0253" w:rsidP="00DE0253">
      <w:pPr>
        <w:rPr>
          <w:rFonts w:ascii="Garamond" w:hAnsi="Garamond"/>
        </w:rPr>
        <w:sectPr w:rsidR="00DE0253" w:rsidRPr="00AA11ED" w:rsidSect="00D50892">
          <w:headerReference w:type="default" r:id="rId12"/>
          <w:footerReference w:type="default" r:id="rId13"/>
          <w:pgSz w:w="12240" w:h="15840"/>
          <w:pgMar w:top="1380" w:right="860" w:bottom="640" w:left="920" w:header="475" w:footer="448" w:gutter="0"/>
          <w:pgNumType w:start="1"/>
          <w:cols w:space="720"/>
        </w:sectPr>
      </w:pPr>
      <w:r w:rsidRPr="00AA11ED">
        <w:rPr>
          <w:rFonts w:ascii="Garamond" w:hAnsi="Garamond"/>
        </w:rPr>
        <w:t xml:space="preserve">El proyecto se desarrollará únicamente en zona </w:t>
      </w:r>
      <w:r w:rsidR="00E772BF">
        <w:rPr>
          <w:rFonts w:ascii="Garamond" w:hAnsi="Garamond"/>
        </w:rPr>
        <w:t>urbana</w:t>
      </w:r>
      <w:r w:rsidRPr="00AA11ED">
        <w:rPr>
          <w:rFonts w:ascii="Garamond" w:hAnsi="Garamond"/>
        </w:rPr>
        <w:t xml:space="preserve">. </w:t>
      </w:r>
    </w:p>
    <w:p w14:paraId="4C0571C1" w14:textId="77777777" w:rsidR="00D50892" w:rsidRPr="00AA11ED" w:rsidRDefault="00D50892" w:rsidP="00D50892">
      <w:pPr>
        <w:pStyle w:val="Textoindependiente"/>
        <w:spacing w:before="9"/>
        <w:ind w:left="720"/>
        <w:rPr>
          <w:rFonts w:ascii="Garamond" w:hAnsi="Garamond"/>
          <w:sz w:val="7"/>
        </w:rPr>
      </w:pPr>
    </w:p>
    <w:p w14:paraId="4B194612" w14:textId="77777777" w:rsidR="00D50892" w:rsidRPr="00AA11ED" w:rsidRDefault="00D50892" w:rsidP="00D50892">
      <w:pPr>
        <w:ind w:left="720"/>
        <w:rPr>
          <w:rFonts w:ascii="Garamond" w:hAnsi="Garamond"/>
          <w:b/>
          <w:lang w:val="es-ES"/>
        </w:rPr>
      </w:pPr>
    </w:p>
    <w:p w14:paraId="3F86ACA4" w14:textId="75610FDB" w:rsidR="00635E19" w:rsidRPr="00AA11ED" w:rsidRDefault="004C5636" w:rsidP="0042750F">
      <w:pPr>
        <w:numPr>
          <w:ilvl w:val="0"/>
          <w:numId w:val="3"/>
        </w:numPr>
        <w:rPr>
          <w:rFonts w:ascii="Garamond" w:hAnsi="Garamond"/>
          <w:b/>
          <w:lang w:val="es-ES"/>
        </w:rPr>
      </w:pPr>
      <w:r w:rsidRPr="00AA11ED">
        <w:rPr>
          <w:rFonts w:ascii="Garamond" w:hAnsi="Garamond"/>
          <w:b/>
          <w:lang w:val="es-ES"/>
        </w:rPr>
        <w:t>DESCRIPCIÓ</w:t>
      </w:r>
      <w:r w:rsidR="00635E19" w:rsidRPr="00AA11ED">
        <w:rPr>
          <w:rFonts w:ascii="Garamond" w:hAnsi="Garamond"/>
          <w:b/>
          <w:lang w:val="es-ES"/>
        </w:rPr>
        <w:t xml:space="preserve">N </w:t>
      </w:r>
      <w:r w:rsidR="0067078E" w:rsidRPr="00AA11ED">
        <w:rPr>
          <w:rFonts w:ascii="Garamond" w:hAnsi="Garamond"/>
          <w:b/>
          <w:lang w:val="es-ES"/>
        </w:rPr>
        <w:t xml:space="preserve">OBRA </w:t>
      </w:r>
      <w:r w:rsidR="00635E19" w:rsidRPr="00AA11ED">
        <w:rPr>
          <w:rFonts w:ascii="Garamond" w:hAnsi="Garamond"/>
          <w:b/>
          <w:lang w:val="es-ES"/>
        </w:rPr>
        <w:t>ACTUAL</w:t>
      </w:r>
      <w:r w:rsidR="00C27A89" w:rsidRPr="00AA11ED">
        <w:rPr>
          <w:rFonts w:ascii="Garamond" w:hAnsi="Garamond"/>
          <w:b/>
          <w:lang w:val="es-ES"/>
        </w:rPr>
        <w:t xml:space="preserve"> O ZONA A INTERVENIR</w:t>
      </w:r>
    </w:p>
    <w:p w14:paraId="0B662A86" w14:textId="693AC050" w:rsidR="00BD76F7" w:rsidRPr="00AA11ED" w:rsidRDefault="00BD76F7" w:rsidP="0070526B">
      <w:pPr>
        <w:rPr>
          <w:rFonts w:ascii="Garamond" w:hAnsi="Garamond"/>
          <w:lang w:val="es-ES"/>
        </w:rPr>
      </w:pPr>
      <w:r w:rsidRPr="00AA11ED">
        <w:rPr>
          <w:rFonts w:ascii="Garamond" w:hAnsi="Garamond"/>
          <w:lang w:val="es-ES"/>
        </w:rPr>
        <w:t xml:space="preserve">Según lo reportado por el aplicativo SIGIDU, la malla vial de la Localidad de </w:t>
      </w:r>
      <w:r w:rsidR="00F323CB">
        <w:rPr>
          <w:rFonts w:ascii="Garamond" w:hAnsi="Garamond"/>
          <w:lang w:val="es-ES"/>
        </w:rPr>
        <w:t xml:space="preserve">Los </w:t>
      </w:r>
      <w:r w:rsidR="001A3DE1">
        <w:rPr>
          <w:rFonts w:ascii="Garamond" w:hAnsi="Garamond"/>
          <w:lang w:val="es-ES"/>
        </w:rPr>
        <w:t>Mártires</w:t>
      </w:r>
      <w:r w:rsidRPr="00AA11ED">
        <w:rPr>
          <w:rFonts w:ascii="Garamond" w:hAnsi="Garamond"/>
          <w:lang w:val="es-ES"/>
        </w:rPr>
        <w:t xml:space="preserve">, cuenta con </w:t>
      </w:r>
      <w:r w:rsidR="001B710E">
        <w:rPr>
          <w:rFonts w:ascii="Garamond" w:hAnsi="Garamond"/>
          <w:lang w:val="es-ES"/>
        </w:rPr>
        <w:t>213.5</w:t>
      </w:r>
      <w:r w:rsidRPr="00AA11ED">
        <w:rPr>
          <w:rFonts w:ascii="Garamond" w:hAnsi="Garamond"/>
          <w:lang w:val="es-ES"/>
        </w:rPr>
        <w:t>Km-carril, distribuidos de la siguiente manera:</w:t>
      </w:r>
    </w:p>
    <w:p w14:paraId="7F405BC9" w14:textId="7CB0BCA0" w:rsidR="00BD76F7" w:rsidRPr="00AA11ED" w:rsidRDefault="001B710E" w:rsidP="00BD76F7">
      <w:pPr>
        <w:jc w:val="center"/>
        <w:rPr>
          <w:rFonts w:ascii="Garamond" w:hAnsi="Garamond"/>
          <w:lang w:val="es-ES"/>
        </w:rPr>
      </w:pPr>
      <w:r w:rsidRPr="001B710E">
        <w:rPr>
          <w:rFonts w:ascii="Garamond" w:hAnsi="Garamond"/>
          <w:noProof/>
          <w:lang w:val="es-ES"/>
        </w:rPr>
        <w:drawing>
          <wp:inline distT="0" distB="0" distL="0" distR="0" wp14:anchorId="23413F70" wp14:editId="13688CC0">
            <wp:extent cx="5868670" cy="3702685"/>
            <wp:effectExtent l="0" t="0" r="0" b="0"/>
            <wp:docPr id="11343008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300873" name=""/>
                    <pic:cNvPicPr/>
                  </pic:nvPicPr>
                  <pic:blipFill>
                    <a:blip r:embed="rId14"/>
                    <a:stretch>
                      <a:fillRect/>
                    </a:stretch>
                  </pic:blipFill>
                  <pic:spPr>
                    <a:xfrm>
                      <a:off x="0" y="0"/>
                      <a:ext cx="5868670" cy="3702685"/>
                    </a:xfrm>
                    <a:prstGeom prst="rect">
                      <a:avLst/>
                    </a:prstGeom>
                  </pic:spPr>
                </pic:pic>
              </a:graphicData>
            </a:graphic>
          </wp:inline>
        </w:drawing>
      </w:r>
    </w:p>
    <w:p w14:paraId="5E45DE53" w14:textId="477C5C39" w:rsidR="008A28E0" w:rsidRPr="00AA11ED" w:rsidRDefault="008A28E0" w:rsidP="00BD76F7">
      <w:pPr>
        <w:jc w:val="center"/>
        <w:rPr>
          <w:rFonts w:ascii="Garamond" w:hAnsi="Garamond"/>
          <w:sz w:val="16"/>
          <w:szCs w:val="18"/>
          <w:lang w:val="es-ES"/>
        </w:rPr>
      </w:pPr>
      <w:r w:rsidRPr="00AA11ED">
        <w:rPr>
          <w:rFonts w:ascii="Garamond" w:hAnsi="Garamond"/>
          <w:sz w:val="16"/>
          <w:szCs w:val="18"/>
          <w:lang w:val="es-ES"/>
        </w:rPr>
        <w:t xml:space="preserve">Grafica 1. </w:t>
      </w:r>
      <w:proofErr w:type="gramStart"/>
      <w:r w:rsidRPr="00AA11ED">
        <w:rPr>
          <w:rFonts w:ascii="Garamond" w:hAnsi="Garamond"/>
          <w:sz w:val="16"/>
          <w:szCs w:val="18"/>
          <w:lang w:val="es-ES"/>
        </w:rPr>
        <w:t>Consolidado malla vial</w:t>
      </w:r>
      <w:proofErr w:type="gramEnd"/>
      <w:r w:rsidRPr="00AA11ED">
        <w:rPr>
          <w:rFonts w:ascii="Garamond" w:hAnsi="Garamond"/>
          <w:sz w:val="16"/>
          <w:szCs w:val="18"/>
          <w:lang w:val="es-ES"/>
        </w:rPr>
        <w:t xml:space="preserve"> urbano. </w:t>
      </w:r>
    </w:p>
    <w:p w14:paraId="4432DEEF" w14:textId="02717988" w:rsidR="006E2EEA" w:rsidRPr="00AA11ED" w:rsidRDefault="006E2EEA" w:rsidP="0070526B">
      <w:pPr>
        <w:rPr>
          <w:rFonts w:ascii="Garamond" w:hAnsi="Garamond"/>
          <w:lang w:val="es-ES"/>
        </w:rPr>
      </w:pPr>
      <w:r w:rsidRPr="00AA11ED">
        <w:rPr>
          <w:rFonts w:ascii="Garamond" w:hAnsi="Garamond"/>
          <w:lang w:val="es-ES"/>
        </w:rPr>
        <w:t>Según la información reportada por el Instituto de Desarrollo Urbano – IDU, con fecha de corte de diciembre 202</w:t>
      </w:r>
      <w:r w:rsidR="001B710E">
        <w:rPr>
          <w:rFonts w:ascii="Garamond" w:hAnsi="Garamond"/>
          <w:lang w:val="es-ES"/>
        </w:rPr>
        <w:t>5</w:t>
      </w:r>
      <w:r w:rsidRPr="00AA11ED">
        <w:rPr>
          <w:rFonts w:ascii="Garamond" w:hAnsi="Garamond"/>
          <w:lang w:val="es-ES"/>
        </w:rPr>
        <w:t xml:space="preserve">, el estado actual de la malla vial de la Localidad de </w:t>
      </w:r>
      <w:r w:rsidR="00F323CB">
        <w:rPr>
          <w:rFonts w:ascii="Garamond" w:hAnsi="Garamond"/>
          <w:lang w:val="es-ES"/>
        </w:rPr>
        <w:t xml:space="preserve">Los </w:t>
      </w:r>
      <w:proofErr w:type="spellStart"/>
      <w:r w:rsidR="00F323CB">
        <w:rPr>
          <w:rFonts w:ascii="Garamond" w:hAnsi="Garamond"/>
          <w:lang w:val="es-ES"/>
        </w:rPr>
        <w:t>Martires</w:t>
      </w:r>
      <w:proofErr w:type="spellEnd"/>
      <w:r w:rsidRPr="00AA11ED">
        <w:rPr>
          <w:rFonts w:ascii="Garamond" w:hAnsi="Garamond"/>
          <w:lang w:val="es-ES"/>
        </w:rPr>
        <w:t xml:space="preserve"> es:</w:t>
      </w:r>
    </w:p>
    <w:p w14:paraId="6EEC7230" w14:textId="74A3F445" w:rsidR="006E2EEA" w:rsidRPr="00AA11ED" w:rsidRDefault="001B710E" w:rsidP="006E2EEA">
      <w:pPr>
        <w:jc w:val="center"/>
        <w:rPr>
          <w:rFonts w:ascii="Garamond" w:hAnsi="Garamond"/>
          <w:lang w:val="es-ES"/>
        </w:rPr>
      </w:pPr>
      <w:r w:rsidRPr="001B710E">
        <w:rPr>
          <w:rFonts w:ascii="Garamond" w:hAnsi="Garamond"/>
          <w:noProof/>
          <w:lang w:val="es-ES"/>
        </w:rPr>
        <w:drawing>
          <wp:inline distT="0" distB="0" distL="0" distR="0" wp14:anchorId="3349F44C" wp14:editId="1315B1F1">
            <wp:extent cx="5868670" cy="746760"/>
            <wp:effectExtent l="0" t="0" r="0" b="0"/>
            <wp:docPr id="19722752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300873" name=""/>
                    <pic:cNvPicPr/>
                  </pic:nvPicPr>
                  <pic:blipFill rotWithShape="1">
                    <a:blip r:embed="rId14"/>
                    <a:srcRect b="79832"/>
                    <a:stretch>
                      <a:fillRect/>
                    </a:stretch>
                  </pic:blipFill>
                  <pic:spPr bwMode="auto">
                    <a:xfrm>
                      <a:off x="0" y="0"/>
                      <a:ext cx="5868670" cy="746760"/>
                    </a:xfrm>
                    <a:prstGeom prst="rect">
                      <a:avLst/>
                    </a:prstGeom>
                    <a:ln>
                      <a:noFill/>
                    </a:ln>
                    <a:extLst>
                      <a:ext uri="{53640926-AAD7-44D8-BBD7-CCE9431645EC}">
                        <a14:shadowObscured xmlns:a14="http://schemas.microsoft.com/office/drawing/2010/main"/>
                      </a:ext>
                    </a:extLst>
                  </pic:spPr>
                </pic:pic>
              </a:graphicData>
            </a:graphic>
          </wp:inline>
        </w:drawing>
      </w:r>
    </w:p>
    <w:p w14:paraId="2B2F226B" w14:textId="77777777" w:rsidR="00C25EC3" w:rsidRPr="00AA11ED" w:rsidRDefault="00C25EC3" w:rsidP="00C25EC3">
      <w:pPr>
        <w:jc w:val="center"/>
        <w:rPr>
          <w:rFonts w:ascii="Garamond" w:hAnsi="Garamond"/>
          <w:sz w:val="16"/>
          <w:szCs w:val="18"/>
          <w:lang w:val="es-ES"/>
        </w:rPr>
      </w:pPr>
      <w:r w:rsidRPr="00AA11ED">
        <w:rPr>
          <w:rFonts w:ascii="Garamond" w:hAnsi="Garamond"/>
          <w:sz w:val="16"/>
          <w:szCs w:val="18"/>
          <w:lang w:val="es-ES"/>
        </w:rPr>
        <w:t xml:space="preserve">Grafica 1. </w:t>
      </w:r>
      <w:proofErr w:type="gramStart"/>
      <w:r w:rsidRPr="00AA11ED">
        <w:rPr>
          <w:rFonts w:ascii="Garamond" w:hAnsi="Garamond"/>
          <w:sz w:val="16"/>
          <w:szCs w:val="18"/>
          <w:lang w:val="es-ES"/>
        </w:rPr>
        <w:t>Consolidado malla vial</w:t>
      </w:r>
      <w:proofErr w:type="gramEnd"/>
      <w:r w:rsidRPr="00AA11ED">
        <w:rPr>
          <w:rFonts w:ascii="Garamond" w:hAnsi="Garamond"/>
          <w:sz w:val="16"/>
          <w:szCs w:val="18"/>
          <w:lang w:val="es-ES"/>
        </w:rPr>
        <w:t xml:space="preserve"> urbano. </w:t>
      </w:r>
    </w:p>
    <w:p w14:paraId="77A59E69" w14:textId="7CFDAC9D" w:rsidR="006E2EEA" w:rsidRPr="00AA11ED" w:rsidRDefault="006E2EEA" w:rsidP="006E2EEA">
      <w:pPr>
        <w:rPr>
          <w:rFonts w:ascii="Garamond" w:hAnsi="Garamond"/>
          <w:lang w:val="es-ES"/>
        </w:rPr>
      </w:pPr>
      <w:r w:rsidRPr="00AA11ED">
        <w:rPr>
          <w:rFonts w:ascii="Garamond" w:hAnsi="Garamond"/>
          <w:lang w:val="es-ES"/>
        </w:rPr>
        <w:t>Lo que implica que todas las acciones que se pretenden realizar continuarán mejorando todo el estado de la infraestructura reportado como “pobre” y “justo”, así como la incidencia importante que tendrá en implementar condiciones adecuadas para la malla vial reportada como “grave”</w:t>
      </w:r>
      <w:r w:rsidR="00A5148F" w:rsidRPr="00AA11ED">
        <w:rPr>
          <w:rFonts w:ascii="Garamond" w:hAnsi="Garamond"/>
          <w:lang w:val="es-ES"/>
        </w:rPr>
        <w:t>, “muy pobre” y “fallado”.</w:t>
      </w:r>
      <w:r w:rsidRPr="00AA11ED">
        <w:rPr>
          <w:rFonts w:ascii="Garamond" w:hAnsi="Garamond"/>
          <w:lang w:val="es-ES"/>
        </w:rPr>
        <w:t xml:space="preserve"> </w:t>
      </w:r>
    </w:p>
    <w:p w14:paraId="07963CBD" w14:textId="48C42CE1" w:rsidR="00BE2449" w:rsidRPr="00AA11ED" w:rsidRDefault="00BE2449" w:rsidP="006E2EEA">
      <w:pPr>
        <w:rPr>
          <w:rFonts w:ascii="Garamond" w:hAnsi="Garamond"/>
          <w:lang w:val="es-ES"/>
        </w:rPr>
      </w:pPr>
      <w:r w:rsidRPr="00AA11ED">
        <w:rPr>
          <w:rFonts w:ascii="Garamond" w:hAnsi="Garamond"/>
          <w:lang w:val="es-ES"/>
        </w:rPr>
        <w:t>A continuación, se relaciona el estado actual de malla vial urbana, con reporte por parte del IDU de diciembre 202</w:t>
      </w:r>
      <w:r w:rsidR="001B710E">
        <w:rPr>
          <w:rFonts w:ascii="Garamond" w:hAnsi="Garamond"/>
          <w:lang w:val="es-ES"/>
        </w:rPr>
        <w:t>5</w:t>
      </w:r>
      <w:r w:rsidRPr="00AA11ED">
        <w:rPr>
          <w:rFonts w:ascii="Garamond" w:hAnsi="Garamond"/>
          <w:lang w:val="es-ES"/>
        </w:rPr>
        <w:t>.</w:t>
      </w:r>
    </w:p>
    <w:p w14:paraId="02E997D2" w14:textId="5646A6C8" w:rsidR="00BE2449" w:rsidRPr="00AA11ED" w:rsidRDefault="001B710E" w:rsidP="00BE2449">
      <w:pPr>
        <w:jc w:val="center"/>
        <w:rPr>
          <w:rFonts w:ascii="Garamond" w:hAnsi="Garamond"/>
          <w:lang w:val="es-ES"/>
        </w:rPr>
      </w:pPr>
      <w:r w:rsidRPr="001B710E">
        <w:rPr>
          <w:rFonts w:ascii="Garamond" w:hAnsi="Garamond"/>
          <w:noProof/>
          <w:lang w:val="es-ES"/>
        </w:rPr>
        <w:lastRenderedPageBreak/>
        <w:drawing>
          <wp:inline distT="0" distB="0" distL="0" distR="0" wp14:anchorId="321EE3E7" wp14:editId="6C43A2A4">
            <wp:extent cx="5868670" cy="3138170"/>
            <wp:effectExtent l="0" t="0" r="0" b="5080"/>
            <wp:docPr id="9473939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393976" name=""/>
                    <pic:cNvPicPr/>
                  </pic:nvPicPr>
                  <pic:blipFill>
                    <a:blip r:embed="rId15"/>
                    <a:stretch>
                      <a:fillRect/>
                    </a:stretch>
                  </pic:blipFill>
                  <pic:spPr>
                    <a:xfrm>
                      <a:off x="0" y="0"/>
                      <a:ext cx="5868670" cy="3138170"/>
                    </a:xfrm>
                    <a:prstGeom prst="rect">
                      <a:avLst/>
                    </a:prstGeom>
                  </pic:spPr>
                </pic:pic>
              </a:graphicData>
            </a:graphic>
          </wp:inline>
        </w:drawing>
      </w:r>
    </w:p>
    <w:p w14:paraId="2876F5B7" w14:textId="66F61AAA" w:rsidR="00343BE6" w:rsidRPr="00AA11ED" w:rsidRDefault="00343BE6" w:rsidP="0042750F">
      <w:pPr>
        <w:numPr>
          <w:ilvl w:val="0"/>
          <w:numId w:val="4"/>
        </w:numPr>
        <w:rPr>
          <w:rFonts w:ascii="Garamond" w:hAnsi="Garamond"/>
          <w:b/>
          <w:iCs/>
        </w:rPr>
      </w:pPr>
      <w:r w:rsidRPr="00AA11ED">
        <w:rPr>
          <w:rFonts w:ascii="Garamond" w:hAnsi="Garamond"/>
          <w:b/>
          <w:iCs/>
        </w:rPr>
        <w:t>Localización:</w:t>
      </w:r>
    </w:p>
    <w:p w14:paraId="013649C4" w14:textId="18C8CCCE" w:rsidR="00DE0253" w:rsidRPr="00AA11ED" w:rsidRDefault="00DE0253" w:rsidP="00DE0253">
      <w:pPr>
        <w:pStyle w:val="Textoindependiente"/>
        <w:spacing w:before="1" w:line="259" w:lineRule="auto"/>
        <w:ind w:right="599"/>
        <w:rPr>
          <w:rFonts w:ascii="Garamond" w:hAnsi="Garamond"/>
          <w:sz w:val="20"/>
          <w:szCs w:val="22"/>
          <w:lang w:val="es-ES"/>
        </w:rPr>
      </w:pPr>
      <w:r w:rsidRPr="00AA11ED">
        <w:rPr>
          <w:rFonts w:ascii="Garamond" w:hAnsi="Garamond"/>
          <w:sz w:val="20"/>
          <w:szCs w:val="22"/>
          <w:lang w:val="es-ES"/>
        </w:rPr>
        <w:t xml:space="preserve">El proyecto no posee una ubicación única y específica dado que las obras a ejecutar se encuentran situadas en diferentes Unidades de Planeamiento Zonal (UPZ) de la Localidad, por lo cual se considera que el área de influencia directa e indirecta del proyecto es la Localidad de </w:t>
      </w:r>
      <w:r w:rsidR="00F323CB">
        <w:rPr>
          <w:rFonts w:ascii="Garamond" w:hAnsi="Garamond"/>
          <w:sz w:val="20"/>
          <w:szCs w:val="22"/>
          <w:lang w:val="es-ES"/>
        </w:rPr>
        <w:t xml:space="preserve">Los </w:t>
      </w:r>
      <w:r w:rsidR="001B710E">
        <w:rPr>
          <w:rFonts w:ascii="Garamond" w:hAnsi="Garamond"/>
          <w:sz w:val="20"/>
          <w:szCs w:val="22"/>
          <w:lang w:val="es-ES"/>
        </w:rPr>
        <w:t>Mártires</w:t>
      </w:r>
      <w:r w:rsidRPr="00AA11ED">
        <w:rPr>
          <w:rFonts w:ascii="Garamond" w:hAnsi="Garamond"/>
          <w:sz w:val="20"/>
          <w:szCs w:val="22"/>
          <w:lang w:val="es-ES"/>
        </w:rPr>
        <w:t xml:space="preserve"> y sus UPZ que la conforman.</w:t>
      </w:r>
    </w:p>
    <w:p w14:paraId="33D40016" w14:textId="77777777" w:rsidR="00DE0253" w:rsidRPr="00AA11ED" w:rsidRDefault="00DE0253" w:rsidP="00DE0253">
      <w:pPr>
        <w:pStyle w:val="Textoindependiente"/>
        <w:spacing w:before="7"/>
        <w:ind w:left="1069"/>
        <w:rPr>
          <w:rFonts w:ascii="Garamond" w:hAnsi="Garamond"/>
          <w:sz w:val="20"/>
          <w:szCs w:val="22"/>
          <w:lang w:val="es-ES"/>
        </w:rPr>
      </w:pPr>
    </w:p>
    <w:p w14:paraId="67142737" w14:textId="77777777" w:rsidR="00DE0253" w:rsidRPr="00AA11ED" w:rsidRDefault="00DE0253" w:rsidP="00DE0253">
      <w:pPr>
        <w:pStyle w:val="Textoindependiente"/>
        <w:spacing w:line="259" w:lineRule="auto"/>
        <w:ind w:right="607"/>
        <w:rPr>
          <w:rFonts w:ascii="Garamond" w:hAnsi="Garamond"/>
          <w:sz w:val="20"/>
          <w:szCs w:val="22"/>
          <w:lang w:val="es-ES"/>
        </w:rPr>
      </w:pPr>
      <w:r w:rsidRPr="00AA11ED">
        <w:rPr>
          <w:rFonts w:ascii="Garamond" w:hAnsi="Garamond"/>
          <w:sz w:val="20"/>
          <w:szCs w:val="22"/>
          <w:lang w:val="es-ES"/>
        </w:rPr>
        <w:t>A continuación, se presenta el mapa de la localidad donde se observan las UPZ y su delimitación:</w:t>
      </w:r>
    </w:p>
    <w:p w14:paraId="3EB49C72" w14:textId="77777777" w:rsidR="00DE0253" w:rsidRPr="00AA11ED" w:rsidRDefault="00DE0253" w:rsidP="00DE0253">
      <w:pPr>
        <w:pStyle w:val="Textoindependiente"/>
        <w:spacing w:before="9"/>
        <w:ind w:left="1069"/>
        <w:rPr>
          <w:rFonts w:ascii="Garamond" w:hAnsi="Garamond"/>
          <w:sz w:val="20"/>
        </w:rPr>
      </w:pPr>
    </w:p>
    <w:p w14:paraId="31E2A9F1" w14:textId="7AA5C996" w:rsidR="00DE0253" w:rsidRPr="00AA11ED" w:rsidRDefault="001B710E" w:rsidP="00DE0253">
      <w:pPr>
        <w:pStyle w:val="Textoindependiente"/>
        <w:ind w:left="1069"/>
        <w:jc w:val="center"/>
        <w:rPr>
          <w:rFonts w:ascii="Garamond" w:hAnsi="Garamond"/>
          <w:sz w:val="20"/>
        </w:rPr>
      </w:pPr>
      <w:r w:rsidRPr="001B710E">
        <w:rPr>
          <w:rFonts w:ascii="Garamond" w:hAnsi="Garamond"/>
          <w:noProof/>
          <w:sz w:val="20"/>
        </w:rPr>
        <w:lastRenderedPageBreak/>
        <w:drawing>
          <wp:inline distT="0" distB="0" distL="0" distR="0" wp14:anchorId="45338637" wp14:editId="739F7C49">
            <wp:extent cx="3276600" cy="4302423"/>
            <wp:effectExtent l="0" t="0" r="0" b="3175"/>
            <wp:docPr id="15259736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973671" name=""/>
                    <pic:cNvPicPr/>
                  </pic:nvPicPr>
                  <pic:blipFill>
                    <a:blip r:embed="rId16"/>
                    <a:stretch>
                      <a:fillRect/>
                    </a:stretch>
                  </pic:blipFill>
                  <pic:spPr>
                    <a:xfrm>
                      <a:off x="0" y="0"/>
                      <a:ext cx="3280890" cy="4308056"/>
                    </a:xfrm>
                    <a:prstGeom prst="rect">
                      <a:avLst/>
                    </a:prstGeom>
                  </pic:spPr>
                </pic:pic>
              </a:graphicData>
            </a:graphic>
          </wp:inline>
        </w:drawing>
      </w:r>
    </w:p>
    <w:p w14:paraId="5F9E44F0" w14:textId="77777777" w:rsidR="00DE0253" w:rsidRPr="00AA11ED" w:rsidRDefault="00DE0253" w:rsidP="00DE0253">
      <w:pPr>
        <w:pStyle w:val="Textoindependiente"/>
        <w:spacing w:before="5"/>
        <w:ind w:left="1069"/>
        <w:rPr>
          <w:rFonts w:ascii="Garamond" w:hAnsi="Garamond"/>
          <w:sz w:val="19"/>
        </w:rPr>
      </w:pPr>
    </w:p>
    <w:p w14:paraId="55633219" w14:textId="4A819F16" w:rsidR="00593975" w:rsidRPr="00AA11ED" w:rsidRDefault="00593975" w:rsidP="00B3725C">
      <w:pPr>
        <w:tabs>
          <w:tab w:val="left" w:pos="1113"/>
        </w:tabs>
        <w:jc w:val="center"/>
        <w:rPr>
          <w:rFonts w:ascii="Garamond" w:hAnsi="Garamond"/>
          <w:noProof/>
          <w:sz w:val="16"/>
          <w:lang w:val="es-ES"/>
        </w:rPr>
      </w:pPr>
      <w:r w:rsidRPr="00AA11ED">
        <w:rPr>
          <w:rFonts w:ascii="Garamond" w:hAnsi="Garamond"/>
          <w:noProof/>
          <w:sz w:val="16"/>
          <w:lang w:val="es-ES"/>
        </w:rPr>
        <w:t xml:space="preserve">Figura 1.1. Localización de la </w:t>
      </w:r>
      <w:r w:rsidR="00DE0253" w:rsidRPr="00AA11ED">
        <w:rPr>
          <w:rFonts w:ascii="Garamond" w:hAnsi="Garamond"/>
          <w:noProof/>
          <w:sz w:val="16"/>
          <w:lang w:val="es-ES"/>
        </w:rPr>
        <w:t>Localidad.</w:t>
      </w:r>
      <w:r w:rsidR="00E444A4" w:rsidRPr="00AA11ED">
        <w:rPr>
          <w:rFonts w:ascii="Garamond" w:hAnsi="Garamond"/>
          <w:noProof/>
          <w:sz w:val="16"/>
          <w:lang w:val="es-ES"/>
        </w:rPr>
        <w:t xml:space="preserve"> </w:t>
      </w:r>
    </w:p>
    <w:p w14:paraId="5985DC19" w14:textId="77777777" w:rsidR="00B3725C" w:rsidRPr="00AA11ED" w:rsidRDefault="00B3725C" w:rsidP="00B3725C">
      <w:pPr>
        <w:spacing w:after="0"/>
        <w:ind w:left="720"/>
        <w:rPr>
          <w:rFonts w:ascii="Garamond" w:hAnsi="Garamond"/>
          <w:b/>
          <w:lang w:val="es-ES"/>
        </w:rPr>
      </w:pPr>
    </w:p>
    <w:p w14:paraId="2741CF6F" w14:textId="4E900DC2" w:rsidR="00890854" w:rsidRPr="00AA11ED" w:rsidRDefault="00381BDB" w:rsidP="0042750F">
      <w:pPr>
        <w:numPr>
          <w:ilvl w:val="0"/>
          <w:numId w:val="3"/>
        </w:numPr>
        <w:rPr>
          <w:rFonts w:ascii="Garamond" w:hAnsi="Garamond"/>
          <w:b/>
          <w:lang w:val="es-ES"/>
        </w:rPr>
      </w:pPr>
      <w:r w:rsidRPr="00AA11ED">
        <w:rPr>
          <w:rFonts w:ascii="Garamond" w:hAnsi="Garamond"/>
          <w:b/>
          <w:lang w:val="es-ES"/>
        </w:rPr>
        <w:t>ACTIVIDADES POR EJECUTAR</w:t>
      </w:r>
      <w:r w:rsidR="00890854" w:rsidRPr="00AA11ED">
        <w:rPr>
          <w:rFonts w:ascii="Garamond" w:hAnsi="Garamond"/>
          <w:b/>
          <w:lang w:val="es-ES"/>
        </w:rPr>
        <w:t xml:space="preserve"> Y ALCANCE:</w:t>
      </w:r>
    </w:p>
    <w:p w14:paraId="0E223B36" w14:textId="77777777" w:rsidR="00323D77" w:rsidRDefault="00323D77" w:rsidP="00323D77">
      <w:pPr>
        <w:spacing w:after="0" w:line="240" w:lineRule="auto"/>
        <w:rPr>
          <w:rFonts w:ascii="Garamond" w:eastAsia="Calibri" w:hAnsi="Garamond" w:cstheme="majorHAnsi"/>
        </w:rPr>
      </w:pPr>
      <w:r>
        <w:rPr>
          <w:rFonts w:ascii="Garamond" w:eastAsia="Calibri" w:hAnsi="Garamond" w:cstheme="majorHAnsi"/>
        </w:rPr>
        <w:t>Las</w:t>
      </w:r>
      <w:r w:rsidRPr="006E74A5">
        <w:rPr>
          <w:rFonts w:ascii="Garamond" w:eastAsia="Calibri" w:hAnsi="Garamond" w:cstheme="majorHAnsi"/>
        </w:rPr>
        <w:t xml:space="preserve"> intervenci</w:t>
      </w:r>
      <w:r>
        <w:rPr>
          <w:rFonts w:ascii="Garamond" w:eastAsia="Calibri" w:hAnsi="Garamond" w:cstheme="majorHAnsi"/>
        </w:rPr>
        <w:t>o</w:t>
      </w:r>
      <w:r w:rsidRPr="006E74A5">
        <w:rPr>
          <w:rFonts w:ascii="Garamond" w:eastAsia="Calibri" w:hAnsi="Garamond" w:cstheme="majorHAnsi"/>
        </w:rPr>
        <w:t>n</w:t>
      </w:r>
      <w:r>
        <w:rPr>
          <w:rFonts w:ascii="Garamond" w:eastAsia="Calibri" w:hAnsi="Garamond" w:cstheme="majorHAnsi"/>
        </w:rPr>
        <w:t>es</w:t>
      </w:r>
      <w:r w:rsidRPr="006E74A5">
        <w:rPr>
          <w:rFonts w:ascii="Garamond" w:eastAsia="Calibri" w:hAnsi="Garamond" w:cstheme="majorHAnsi"/>
        </w:rPr>
        <w:t xml:space="preserve"> del Espacio Público se aplicarán a la siguiente infraestructura: </w:t>
      </w:r>
    </w:p>
    <w:p w14:paraId="52462DCE" w14:textId="77777777" w:rsidR="00323D77" w:rsidRPr="006E74A5" w:rsidRDefault="00323D77" w:rsidP="00323D77">
      <w:pPr>
        <w:spacing w:after="0" w:line="240" w:lineRule="auto"/>
        <w:rPr>
          <w:rFonts w:ascii="Garamond" w:eastAsia="Calibri" w:hAnsi="Garamond" w:cstheme="majorHAnsi"/>
        </w:rPr>
      </w:pPr>
    </w:p>
    <w:p w14:paraId="69581199" w14:textId="77777777" w:rsidR="00323D77" w:rsidRPr="006E74A5" w:rsidRDefault="00323D77" w:rsidP="00323D77">
      <w:pPr>
        <w:widowControl w:val="0"/>
        <w:numPr>
          <w:ilvl w:val="0"/>
          <w:numId w:val="35"/>
        </w:numPr>
        <w:autoSpaceDE w:val="0"/>
        <w:autoSpaceDN w:val="0"/>
        <w:adjustRightInd w:val="0"/>
        <w:spacing w:after="0" w:line="240" w:lineRule="auto"/>
        <w:ind w:left="1584" w:hanging="284"/>
        <w:rPr>
          <w:rFonts w:ascii="Garamond" w:eastAsia="Calibri" w:hAnsi="Garamond" w:cstheme="majorHAnsi"/>
        </w:rPr>
      </w:pPr>
      <w:r w:rsidRPr="006E74A5">
        <w:rPr>
          <w:rFonts w:ascii="Garamond" w:eastAsia="Calibri" w:hAnsi="Garamond" w:cstheme="majorHAnsi"/>
          <w:highlight w:val="white"/>
        </w:rPr>
        <w:t xml:space="preserve">Red de infraestructura peatonal </w:t>
      </w:r>
      <w:r w:rsidRPr="006E74A5">
        <w:rPr>
          <w:rFonts w:ascii="Garamond" w:eastAsia="Calibri" w:hAnsi="Garamond" w:cstheme="majorHAnsi"/>
        </w:rPr>
        <w:t>(Decreto 555 de 2021-art. 153)</w:t>
      </w:r>
      <w:r w:rsidRPr="006E74A5">
        <w:rPr>
          <w:rFonts w:ascii="Garamond" w:eastAsia="Calibri" w:hAnsi="Garamond" w:cstheme="majorHAnsi"/>
          <w:highlight w:val="white"/>
        </w:rPr>
        <w:t xml:space="preserve">: </w:t>
      </w:r>
    </w:p>
    <w:p w14:paraId="72A80BA5" w14:textId="77777777" w:rsidR="00323D77" w:rsidRPr="006E74A5" w:rsidRDefault="00323D77" w:rsidP="00323D77">
      <w:pPr>
        <w:widowControl w:val="0"/>
        <w:numPr>
          <w:ilvl w:val="0"/>
          <w:numId w:val="36"/>
        </w:numPr>
        <w:autoSpaceDE w:val="0"/>
        <w:autoSpaceDN w:val="0"/>
        <w:adjustRightInd w:val="0"/>
        <w:spacing w:after="0" w:line="240" w:lineRule="auto"/>
        <w:ind w:left="1868" w:hanging="284"/>
        <w:rPr>
          <w:rFonts w:ascii="Garamond" w:eastAsia="Calibri" w:hAnsi="Garamond" w:cstheme="majorHAnsi"/>
        </w:rPr>
      </w:pPr>
      <w:r w:rsidRPr="006E74A5">
        <w:rPr>
          <w:rFonts w:ascii="Garamond" w:eastAsia="Calibri" w:hAnsi="Garamond" w:cstheme="majorHAnsi"/>
          <w:highlight w:val="white"/>
        </w:rPr>
        <w:t>Franjas de circulación peatonal del espacio público para la movilidad,</w:t>
      </w:r>
    </w:p>
    <w:p w14:paraId="33D3BCD1" w14:textId="77777777" w:rsidR="00323D77" w:rsidRPr="006E74A5" w:rsidRDefault="00323D77" w:rsidP="00323D77">
      <w:pPr>
        <w:widowControl w:val="0"/>
        <w:numPr>
          <w:ilvl w:val="0"/>
          <w:numId w:val="36"/>
        </w:numPr>
        <w:autoSpaceDE w:val="0"/>
        <w:autoSpaceDN w:val="0"/>
        <w:adjustRightInd w:val="0"/>
        <w:spacing w:after="0" w:line="240" w:lineRule="auto"/>
        <w:ind w:left="1868" w:hanging="284"/>
        <w:rPr>
          <w:rFonts w:ascii="Garamond" w:eastAsia="Calibri" w:hAnsi="Garamond" w:cstheme="majorHAnsi"/>
        </w:rPr>
      </w:pPr>
      <w:r w:rsidRPr="006E74A5">
        <w:rPr>
          <w:rFonts w:ascii="Garamond" w:eastAsia="Calibri" w:hAnsi="Garamond" w:cstheme="majorHAnsi"/>
          <w:highlight w:val="white"/>
        </w:rPr>
        <w:t xml:space="preserve">Franja de Paisajismo y para la resiliencia urbana; </w:t>
      </w:r>
    </w:p>
    <w:p w14:paraId="5CFF6BC6" w14:textId="77777777" w:rsidR="00323D77" w:rsidRPr="006E74A5" w:rsidRDefault="00323D77" w:rsidP="00323D77">
      <w:pPr>
        <w:widowControl w:val="0"/>
        <w:numPr>
          <w:ilvl w:val="0"/>
          <w:numId w:val="36"/>
        </w:numPr>
        <w:autoSpaceDE w:val="0"/>
        <w:autoSpaceDN w:val="0"/>
        <w:adjustRightInd w:val="0"/>
        <w:spacing w:after="0" w:line="240" w:lineRule="auto"/>
        <w:ind w:left="1868" w:hanging="284"/>
        <w:rPr>
          <w:rFonts w:ascii="Garamond" w:eastAsia="Calibri" w:hAnsi="Garamond" w:cstheme="majorHAnsi"/>
        </w:rPr>
      </w:pPr>
      <w:r w:rsidRPr="006E74A5">
        <w:rPr>
          <w:rFonts w:ascii="Garamond" w:eastAsia="Calibri" w:hAnsi="Garamond" w:cstheme="majorHAnsi"/>
          <w:highlight w:val="white"/>
        </w:rPr>
        <w:t xml:space="preserve">Zonas de permanencia y conexión peatonal del espacio público peatonal y para el encuentro, </w:t>
      </w:r>
    </w:p>
    <w:p w14:paraId="4DD68091" w14:textId="77777777" w:rsidR="00323D77" w:rsidRPr="006E74A5" w:rsidRDefault="00323D77" w:rsidP="00323D77">
      <w:pPr>
        <w:widowControl w:val="0"/>
        <w:numPr>
          <w:ilvl w:val="0"/>
          <w:numId w:val="36"/>
        </w:numPr>
        <w:autoSpaceDE w:val="0"/>
        <w:autoSpaceDN w:val="0"/>
        <w:adjustRightInd w:val="0"/>
        <w:spacing w:after="0" w:line="240" w:lineRule="auto"/>
        <w:ind w:left="1868" w:hanging="284"/>
        <w:rPr>
          <w:rFonts w:ascii="Garamond" w:eastAsia="Calibri" w:hAnsi="Garamond" w:cstheme="majorHAnsi"/>
        </w:rPr>
      </w:pPr>
      <w:r w:rsidRPr="006E74A5">
        <w:rPr>
          <w:rFonts w:ascii="Garamond" w:eastAsia="Calibri" w:hAnsi="Garamond" w:cstheme="majorHAnsi"/>
          <w:highlight w:val="white"/>
        </w:rPr>
        <w:t>Áreas de circulación de la infraestructura de acceso y tránsito del sistema de movilidad</w:t>
      </w:r>
    </w:p>
    <w:p w14:paraId="390F1B42" w14:textId="77777777" w:rsidR="00323D77" w:rsidRPr="006E74A5" w:rsidRDefault="00323D77" w:rsidP="00323D77">
      <w:pPr>
        <w:widowControl w:val="0"/>
        <w:numPr>
          <w:ilvl w:val="0"/>
          <w:numId w:val="35"/>
        </w:numPr>
        <w:autoSpaceDE w:val="0"/>
        <w:autoSpaceDN w:val="0"/>
        <w:adjustRightInd w:val="0"/>
        <w:spacing w:after="0" w:line="240" w:lineRule="auto"/>
        <w:ind w:left="1584" w:hanging="283"/>
        <w:rPr>
          <w:rFonts w:ascii="Garamond" w:eastAsia="Calibri" w:hAnsi="Garamond" w:cstheme="majorHAnsi"/>
        </w:rPr>
      </w:pPr>
      <w:r w:rsidRPr="006E74A5">
        <w:rPr>
          <w:rFonts w:ascii="Garamond" w:eastAsia="Calibri" w:hAnsi="Garamond" w:cstheme="majorHAnsi"/>
          <w:highlight w:val="white"/>
        </w:rPr>
        <w:t xml:space="preserve">Red de </w:t>
      </w:r>
      <w:proofErr w:type="spellStart"/>
      <w:r w:rsidRPr="006E74A5">
        <w:rPr>
          <w:rFonts w:ascii="Garamond" w:eastAsia="Calibri" w:hAnsi="Garamond" w:cstheme="majorHAnsi"/>
          <w:highlight w:val="white"/>
        </w:rPr>
        <w:t>cicloinfraestructura</w:t>
      </w:r>
      <w:proofErr w:type="spellEnd"/>
      <w:r w:rsidRPr="006E74A5">
        <w:rPr>
          <w:rFonts w:ascii="Garamond" w:eastAsia="Calibri" w:hAnsi="Garamond" w:cstheme="majorHAnsi"/>
          <w:highlight w:val="white"/>
        </w:rPr>
        <w:t xml:space="preserve"> </w:t>
      </w:r>
      <w:r w:rsidRPr="006E74A5">
        <w:rPr>
          <w:rFonts w:ascii="Garamond" w:eastAsia="Calibri" w:hAnsi="Garamond" w:cstheme="majorHAnsi"/>
        </w:rPr>
        <w:t>(Decreto 555 de 2021-art. 151)</w:t>
      </w:r>
    </w:p>
    <w:p w14:paraId="139591FD" w14:textId="77777777" w:rsidR="00323D77" w:rsidRPr="006E74A5" w:rsidRDefault="00323D77" w:rsidP="00323D77">
      <w:pPr>
        <w:widowControl w:val="0"/>
        <w:numPr>
          <w:ilvl w:val="0"/>
          <w:numId w:val="38"/>
        </w:numPr>
        <w:autoSpaceDE w:val="0"/>
        <w:autoSpaceDN w:val="0"/>
        <w:adjustRightInd w:val="0"/>
        <w:spacing w:after="0" w:line="240" w:lineRule="auto"/>
        <w:ind w:left="1868" w:hanging="284"/>
        <w:rPr>
          <w:rFonts w:ascii="Garamond" w:eastAsia="Calibri" w:hAnsi="Garamond" w:cstheme="majorHAnsi"/>
        </w:rPr>
      </w:pPr>
      <w:r w:rsidRPr="006E74A5">
        <w:rPr>
          <w:rFonts w:ascii="Garamond" w:eastAsia="Calibri" w:hAnsi="Garamond" w:cstheme="majorHAnsi"/>
          <w:highlight w:val="white"/>
        </w:rPr>
        <w:t xml:space="preserve">Franjas de </w:t>
      </w:r>
      <w:proofErr w:type="spellStart"/>
      <w:r w:rsidRPr="006E74A5">
        <w:rPr>
          <w:rFonts w:ascii="Garamond" w:eastAsia="Calibri" w:hAnsi="Garamond" w:cstheme="majorHAnsi"/>
          <w:highlight w:val="white"/>
        </w:rPr>
        <w:t>cicloinfraestructura</w:t>
      </w:r>
      <w:proofErr w:type="spellEnd"/>
      <w:r w:rsidRPr="006E74A5">
        <w:rPr>
          <w:rFonts w:ascii="Garamond" w:eastAsia="Calibri" w:hAnsi="Garamond" w:cstheme="majorHAnsi"/>
          <w:highlight w:val="white"/>
        </w:rPr>
        <w:t xml:space="preserve"> por donde circulan bicicletas, patinetas o vehículos de </w:t>
      </w:r>
      <w:proofErr w:type="spellStart"/>
      <w:r w:rsidRPr="006E74A5">
        <w:rPr>
          <w:rFonts w:ascii="Garamond" w:eastAsia="Calibri" w:hAnsi="Garamond" w:cstheme="majorHAnsi"/>
          <w:highlight w:val="white"/>
        </w:rPr>
        <w:t>micromovilidad</w:t>
      </w:r>
      <w:proofErr w:type="spellEnd"/>
      <w:r w:rsidRPr="006E74A5">
        <w:rPr>
          <w:rFonts w:ascii="Garamond" w:eastAsia="Calibri" w:hAnsi="Garamond" w:cstheme="majorHAnsi"/>
          <w:highlight w:val="white"/>
        </w:rPr>
        <w:t xml:space="preserve"> y</w:t>
      </w:r>
    </w:p>
    <w:p w14:paraId="6C0E56AC" w14:textId="77777777" w:rsidR="00323D77" w:rsidRPr="006E74A5" w:rsidRDefault="00323D77" w:rsidP="00323D77">
      <w:pPr>
        <w:widowControl w:val="0"/>
        <w:numPr>
          <w:ilvl w:val="0"/>
          <w:numId w:val="38"/>
        </w:numPr>
        <w:autoSpaceDE w:val="0"/>
        <w:autoSpaceDN w:val="0"/>
        <w:adjustRightInd w:val="0"/>
        <w:spacing w:after="0" w:line="240" w:lineRule="auto"/>
        <w:ind w:left="1868" w:hanging="284"/>
        <w:rPr>
          <w:rFonts w:ascii="Garamond" w:eastAsia="Calibri" w:hAnsi="Garamond" w:cstheme="majorHAnsi"/>
        </w:rPr>
      </w:pPr>
      <w:r w:rsidRPr="006E74A5">
        <w:rPr>
          <w:rFonts w:ascii="Garamond" w:eastAsia="Calibri" w:hAnsi="Garamond" w:cstheme="majorHAnsi"/>
          <w:highlight w:val="white"/>
        </w:rPr>
        <w:t>Áreas de servicios complementarios a estos vehículos</w:t>
      </w:r>
    </w:p>
    <w:p w14:paraId="7D1FF46D" w14:textId="77777777" w:rsidR="00323D77" w:rsidRPr="006E74A5" w:rsidRDefault="00323D77" w:rsidP="00323D77">
      <w:pPr>
        <w:widowControl w:val="0"/>
        <w:numPr>
          <w:ilvl w:val="0"/>
          <w:numId w:val="35"/>
        </w:numPr>
        <w:autoSpaceDE w:val="0"/>
        <w:autoSpaceDN w:val="0"/>
        <w:adjustRightInd w:val="0"/>
        <w:spacing w:after="0" w:line="240" w:lineRule="auto"/>
        <w:ind w:left="1868" w:hanging="284"/>
        <w:rPr>
          <w:rFonts w:ascii="Garamond" w:eastAsia="Calibri" w:hAnsi="Garamond" w:cstheme="majorHAnsi"/>
        </w:rPr>
      </w:pPr>
      <w:r w:rsidRPr="006E74A5">
        <w:rPr>
          <w:rFonts w:ascii="Garamond" w:eastAsia="Calibri" w:hAnsi="Garamond" w:cstheme="majorHAnsi"/>
        </w:rPr>
        <w:t>Red Vial (Decreto 555 de 2021-art. 152)</w:t>
      </w:r>
    </w:p>
    <w:p w14:paraId="4DF0E1D3" w14:textId="77777777" w:rsidR="00323D77" w:rsidRPr="006E74A5" w:rsidRDefault="00323D77" w:rsidP="00323D77">
      <w:pPr>
        <w:widowControl w:val="0"/>
        <w:numPr>
          <w:ilvl w:val="0"/>
          <w:numId w:val="37"/>
        </w:numPr>
        <w:autoSpaceDE w:val="0"/>
        <w:autoSpaceDN w:val="0"/>
        <w:adjustRightInd w:val="0"/>
        <w:spacing w:after="0" w:line="240" w:lineRule="auto"/>
        <w:ind w:left="1868" w:hanging="284"/>
        <w:rPr>
          <w:rFonts w:ascii="Garamond" w:eastAsia="Calibri" w:hAnsi="Garamond" w:cstheme="majorHAnsi"/>
        </w:rPr>
      </w:pPr>
      <w:r w:rsidRPr="006E74A5">
        <w:rPr>
          <w:rFonts w:ascii="Garamond" w:eastAsia="Calibri" w:hAnsi="Garamond" w:cstheme="majorHAnsi"/>
          <w:highlight w:val="white"/>
        </w:rPr>
        <w:t>Malla vial local</w:t>
      </w:r>
    </w:p>
    <w:p w14:paraId="2D14289B" w14:textId="77777777" w:rsidR="00323D77" w:rsidRPr="006E74A5" w:rsidRDefault="00323D77" w:rsidP="00323D77">
      <w:pPr>
        <w:widowControl w:val="0"/>
        <w:numPr>
          <w:ilvl w:val="0"/>
          <w:numId w:val="37"/>
        </w:numPr>
        <w:autoSpaceDE w:val="0"/>
        <w:autoSpaceDN w:val="0"/>
        <w:adjustRightInd w:val="0"/>
        <w:spacing w:after="0" w:line="240" w:lineRule="auto"/>
        <w:ind w:left="1868" w:hanging="284"/>
        <w:rPr>
          <w:rFonts w:ascii="Garamond" w:eastAsia="Calibri" w:hAnsi="Garamond" w:cstheme="majorHAnsi"/>
        </w:rPr>
      </w:pPr>
      <w:r w:rsidRPr="006E74A5">
        <w:rPr>
          <w:rFonts w:ascii="Garamond" w:eastAsia="Calibri" w:hAnsi="Garamond" w:cstheme="majorHAnsi"/>
          <w:highlight w:val="white"/>
        </w:rPr>
        <w:t>Malla vial intermedia</w:t>
      </w:r>
    </w:p>
    <w:p w14:paraId="79668AB0" w14:textId="77777777" w:rsidR="00323D77" w:rsidRPr="00DC5EA2" w:rsidRDefault="00323D77" w:rsidP="00323D77">
      <w:pPr>
        <w:widowControl w:val="0"/>
        <w:autoSpaceDE w:val="0"/>
        <w:autoSpaceDN w:val="0"/>
        <w:adjustRightInd w:val="0"/>
        <w:spacing w:after="0" w:line="240" w:lineRule="auto"/>
        <w:ind w:left="1584"/>
        <w:rPr>
          <w:rFonts w:ascii="Garamond" w:eastAsia="Calibri" w:hAnsi="Garamond" w:cstheme="majorHAnsi"/>
          <w:strike/>
        </w:rPr>
      </w:pPr>
    </w:p>
    <w:p w14:paraId="6DE36D9B" w14:textId="77777777" w:rsidR="00323D77" w:rsidRPr="007E1F1C" w:rsidRDefault="00323D77" w:rsidP="00323D77">
      <w:pPr>
        <w:pBdr>
          <w:top w:val="nil"/>
          <w:left w:val="nil"/>
          <w:bottom w:val="nil"/>
          <w:right w:val="nil"/>
          <w:between w:val="nil"/>
        </w:pBdr>
        <w:spacing w:after="0" w:line="240" w:lineRule="auto"/>
        <w:rPr>
          <w:rFonts w:ascii="Garamond" w:eastAsia="Calibri" w:hAnsi="Garamond" w:cstheme="majorHAnsi"/>
        </w:rPr>
      </w:pPr>
      <w:r w:rsidRPr="007E1F1C">
        <w:rPr>
          <w:rFonts w:ascii="Garamond" w:eastAsia="Calibri" w:hAnsi="Garamond" w:cstheme="majorHAnsi"/>
        </w:rPr>
        <w:t>El alcance de la intervención estará enmarcado en la estrategia de calles completas y franjas funcionales de la red vial (Decreto 555 de 2021-Art. 154), es decir que para los proyectos priorizados deberán incluirse las áreas aferentes que tengan impacto en los niveles de servicio de la infraestructura a adecuar, modificar, mantener y conservar.</w:t>
      </w:r>
    </w:p>
    <w:p w14:paraId="48F0D443" w14:textId="77777777" w:rsidR="00323D77" w:rsidRDefault="00323D77" w:rsidP="00323D77">
      <w:pPr>
        <w:pBdr>
          <w:top w:val="nil"/>
          <w:left w:val="nil"/>
          <w:bottom w:val="nil"/>
          <w:right w:val="nil"/>
          <w:between w:val="nil"/>
        </w:pBdr>
        <w:spacing w:after="0" w:line="240" w:lineRule="auto"/>
        <w:rPr>
          <w:rFonts w:ascii="Garamond" w:eastAsia="Calibri" w:hAnsi="Garamond" w:cstheme="majorHAnsi"/>
        </w:rPr>
      </w:pPr>
    </w:p>
    <w:p w14:paraId="0A702045" w14:textId="2DF4D841" w:rsidR="001B710E" w:rsidRPr="001B710E" w:rsidRDefault="001B710E" w:rsidP="001B710E">
      <w:pPr>
        <w:tabs>
          <w:tab w:val="left" w:pos="6120"/>
        </w:tabs>
        <w:rPr>
          <w:rFonts w:ascii="Garamond" w:eastAsia="Calibri" w:hAnsi="Garamond" w:cstheme="majorHAnsi"/>
        </w:rPr>
      </w:pPr>
      <w:r>
        <w:rPr>
          <w:rFonts w:ascii="Garamond" w:eastAsia="Calibri" w:hAnsi="Garamond" w:cstheme="majorHAnsi"/>
        </w:rPr>
        <w:tab/>
      </w:r>
    </w:p>
    <w:p w14:paraId="5A0BD90B" w14:textId="77777777" w:rsidR="00323D77" w:rsidRPr="007E1F1C" w:rsidRDefault="00323D77" w:rsidP="00323D77">
      <w:pPr>
        <w:pStyle w:val="Prrafodelista"/>
        <w:numPr>
          <w:ilvl w:val="1"/>
          <w:numId w:val="40"/>
        </w:numPr>
        <w:pBdr>
          <w:top w:val="nil"/>
          <w:left w:val="nil"/>
          <w:bottom w:val="nil"/>
          <w:right w:val="nil"/>
          <w:between w:val="nil"/>
        </w:pBdr>
        <w:spacing w:after="0" w:line="240" w:lineRule="auto"/>
        <w:rPr>
          <w:rFonts w:ascii="Garamond" w:eastAsia="Calibri" w:hAnsi="Garamond" w:cstheme="majorHAnsi"/>
          <w:b/>
          <w:bCs/>
        </w:rPr>
      </w:pPr>
      <w:bookmarkStart w:id="0" w:name="_Hlk197619228"/>
      <w:r w:rsidRPr="007E1F1C">
        <w:rPr>
          <w:rFonts w:ascii="Garamond" w:eastAsia="Calibri" w:hAnsi="Garamond" w:cstheme="majorHAnsi"/>
          <w:b/>
          <w:color w:val="000000"/>
        </w:rPr>
        <w:lastRenderedPageBreak/>
        <w:t xml:space="preserve">Tipos de intervención del Espacio Público para la Movilidad - EPM y/o actividades </w:t>
      </w:r>
      <w:r w:rsidRPr="007E1F1C">
        <w:rPr>
          <w:rFonts w:ascii="Garamond" w:eastAsia="Calibri" w:hAnsi="Garamond" w:cstheme="majorHAnsi"/>
          <w:b/>
          <w:bCs/>
        </w:rPr>
        <w:t>a desarrollarse en el convenio</w:t>
      </w:r>
      <w:bookmarkEnd w:id="0"/>
    </w:p>
    <w:p w14:paraId="13925882" w14:textId="77777777" w:rsidR="00323D77" w:rsidRPr="007E1F1C" w:rsidRDefault="00323D77" w:rsidP="00323D77">
      <w:pPr>
        <w:pBdr>
          <w:top w:val="nil"/>
          <w:left w:val="nil"/>
          <w:bottom w:val="nil"/>
          <w:right w:val="nil"/>
          <w:between w:val="nil"/>
        </w:pBdr>
        <w:spacing w:after="0" w:line="240" w:lineRule="auto"/>
        <w:rPr>
          <w:rFonts w:ascii="Garamond" w:eastAsia="Calibri" w:hAnsi="Garamond" w:cstheme="majorHAnsi"/>
          <w:b/>
          <w:bCs/>
        </w:rPr>
      </w:pPr>
    </w:p>
    <w:p w14:paraId="705A4113" w14:textId="77777777" w:rsidR="00323D77" w:rsidRPr="007E1F1C" w:rsidRDefault="00323D77" w:rsidP="00323D77">
      <w:pPr>
        <w:rPr>
          <w:rFonts w:ascii="Garamond" w:eastAsia="Calibri" w:hAnsi="Garamond" w:cstheme="majorHAnsi"/>
        </w:rPr>
      </w:pPr>
      <w:r w:rsidRPr="007E1F1C">
        <w:rPr>
          <w:rFonts w:ascii="Garamond" w:eastAsia="Calibri" w:hAnsi="Garamond" w:cstheme="majorHAnsi"/>
        </w:rPr>
        <w:t>En consecuencia, se presentan los tipos de intervención o actividades que pueden desarrollarse, sin embargo, para cada polígono se establecerá el alcance de la intervención requerida y los detalles de la misma, considerando una logística eficiente en procura de aprovechar los recursos de la manera más efectiva.</w:t>
      </w:r>
    </w:p>
    <w:p w14:paraId="517F6B8A" w14:textId="77777777" w:rsidR="00323D77" w:rsidRPr="007E1F1C" w:rsidRDefault="00323D77" w:rsidP="00323D77">
      <w:pPr>
        <w:pStyle w:val="Prrafodelista"/>
        <w:widowControl w:val="0"/>
        <w:numPr>
          <w:ilvl w:val="0"/>
          <w:numId w:val="39"/>
        </w:numPr>
        <w:autoSpaceDE w:val="0"/>
        <w:autoSpaceDN w:val="0"/>
        <w:adjustRightInd w:val="0"/>
        <w:spacing w:after="0" w:line="240" w:lineRule="auto"/>
        <w:rPr>
          <w:rFonts w:ascii="Garamond" w:eastAsia="Arial" w:hAnsi="Garamond" w:cstheme="majorHAnsi"/>
          <w:lang w:val="es-ES"/>
        </w:rPr>
      </w:pPr>
      <w:r w:rsidRPr="007E1F1C">
        <w:rPr>
          <w:rFonts w:ascii="Garamond" w:eastAsia="Arial" w:hAnsi="Garamond" w:cstheme="majorHAnsi"/>
          <w:b/>
          <w:bCs/>
          <w:lang w:val="es-ES"/>
        </w:rPr>
        <w:t>O</w:t>
      </w:r>
      <w:r>
        <w:rPr>
          <w:rFonts w:ascii="Garamond" w:eastAsia="Arial" w:hAnsi="Garamond" w:cstheme="majorHAnsi"/>
          <w:b/>
          <w:bCs/>
          <w:lang w:val="es-ES"/>
        </w:rPr>
        <w:t>bras de Conservación y Mejoramiento del</w:t>
      </w:r>
      <w:r w:rsidRPr="007E1F1C">
        <w:rPr>
          <w:rFonts w:ascii="Garamond" w:eastAsia="Arial" w:hAnsi="Garamond" w:cstheme="majorHAnsi"/>
          <w:b/>
          <w:bCs/>
          <w:lang w:val="es-ES"/>
        </w:rPr>
        <w:t xml:space="preserve"> Espacio Público para la Movilidad - EPM E</w:t>
      </w:r>
      <w:r>
        <w:rPr>
          <w:rFonts w:ascii="Garamond" w:eastAsia="Arial" w:hAnsi="Garamond" w:cstheme="majorHAnsi"/>
          <w:b/>
          <w:bCs/>
          <w:lang w:val="es-ES"/>
        </w:rPr>
        <w:t>xistente</w:t>
      </w:r>
      <w:r w:rsidRPr="007E1F1C">
        <w:rPr>
          <w:rFonts w:ascii="Garamond" w:eastAsia="Arial" w:hAnsi="Garamond" w:cstheme="majorHAnsi"/>
          <w:lang w:val="es-ES"/>
        </w:rPr>
        <w:t>.</w:t>
      </w:r>
    </w:p>
    <w:p w14:paraId="204D6DDE" w14:textId="77777777" w:rsidR="00323D77" w:rsidRPr="007E1F1C" w:rsidRDefault="00323D77" w:rsidP="00323D77">
      <w:pPr>
        <w:pStyle w:val="Prrafodelista"/>
        <w:widowControl w:val="0"/>
        <w:autoSpaceDE w:val="0"/>
        <w:autoSpaceDN w:val="0"/>
        <w:adjustRightInd w:val="0"/>
        <w:spacing w:after="0" w:line="240" w:lineRule="auto"/>
        <w:ind w:left="360"/>
        <w:rPr>
          <w:rFonts w:ascii="Garamond" w:eastAsia="Arial" w:hAnsi="Garamond" w:cstheme="majorHAnsi"/>
          <w:lang w:val="es-ES"/>
        </w:rPr>
      </w:pPr>
    </w:p>
    <w:p w14:paraId="557CA43B" w14:textId="77777777" w:rsidR="00323D77" w:rsidRPr="007E1F1C" w:rsidRDefault="00323D77" w:rsidP="00323D77">
      <w:pPr>
        <w:pStyle w:val="Prrafodelista"/>
        <w:widowControl w:val="0"/>
        <w:numPr>
          <w:ilvl w:val="1"/>
          <w:numId w:val="39"/>
        </w:numPr>
        <w:autoSpaceDE w:val="0"/>
        <w:autoSpaceDN w:val="0"/>
        <w:adjustRightInd w:val="0"/>
        <w:spacing w:after="0" w:line="240" w:lineRule="auto"/>
        <w:rPr>
          <w:rFonts w:ascii="Garamond" w:eastAsia="Arial" w:hAnsi="Garamond" w:cstheme="majorHAnsi"/>
        </w:rPr>
      </w:pPr>
      <w:r w:rsidRPr="007E1F1C">
        <w:rPr>
          <w:rFonts w:ascii="Garamond" w:eastAsia="Arial" w:hAnsi="Garamond" w:cstheme="majorHAnsi"/>
        </w:rPr>
        <w:t>Mantenimiento rutinario</w:t>
      </w:r>
    </w:p>
    <w:p w14:paraId="29B54952" w14:textId="77777777" w:rsidR="00323D77" w:rsidRPr="007E1F1C" w:rsidRDefault="00323D77" w:rsidP="00323D77">
      <w:pPr>
        <w:pStyle w:val="Prrafodelista"/>
        <w:widowControl w:val="0"/>
        <w:numPr>
          <w:ilvl w:val="2"/>
          <w:numId w:val="39"/>
        </w:numPr>
        <w:autoSpaceDE w:val="0"/>
        <w:autoSpaceDN w:val="0"/>
        <w:adjustRightInd w:val="0"/>
        <w:spacing w:after="0" w:line="240" w:lineRule="auto"/>
        <w:rPr>
          <w:rFonts w:ascii="Garamond" w:eastAsia="Arial" w:hAnsi="Garamond" w:cstheme="majorHAnsi"/>
        </w:rPr>
      </w:pPr>
      <w:r w:rsidRPr="007E1F1C">
        <w:rPr>
          <w:rFonts w:ascii="Garamond" w:eastAsia="Arial" w:hAnsi="Garamond" w:cstheme="majorHAnsi"/>
        </w:rPr>
        <w:t>Sello de fisuras,</w:t>
      </w:r>
    </w:p>
    <w:p w14:paraId="2ACA991F" w14:textId="77777777" w:rsidR="00323D77" w:rsidRPr="007E1F1C" w:rsidRDefault="00323D77" w:rsidP="00323D77">
      <w:pPr>
        <w:pStyle w:val="Prrafodelista"/>
        <w:widowControl w:val="0"/>
        <w:numPr>
          <w:ilvl w:val="2"/>
          <w:numId w:val="39"/>
        </w:numPr>
        <w:autoSpaceDE w:val="0"/>
        <w:autoSpaceDN w:val="0"/>
        <w:adjustRightInd w:val="0"/>
        <w:spacing w:after="0" w:line="240" w:lineRule="auto"/>
        <w:rPr>
          <w:rFonts w:ascii="Garamond" w:eastAsia="Arial" w:hAnsi="Garamond" w:cstheme="majorHAnsi"/>
        </w:rPr>
      </w:pPr>
      <w:r w:rsidRPr="007E1F1C">
        <w:rPr>
          <w:rFonts w:ascii="Garamond" w:eastAsia="Arial" w:hAnsi="Garamond" w:cstheme="majorHAnsi"/>
        </w:rPr>
        <w:t>Sello de Grietas</w:t>
      </w:r>
    </w:p>
    <w:p w14:paraId="3960F4EE" w14:textId="77777777" w:rsidR="00323D77" w:rsidRPr="007E1F1C" w:rsidRDefault="00323D77" w:rsidP="00323D77">
      <w:pPr>
        <w:pStyle w:val="Prrafodelista"/>
        <w:widowControl w:val="0"/>
        <w:numPr>
          <w:ilvl w:val="2"/>
          <w:numId w:val="39"/>
        </w:numPr>
        <w:autoSpaceDE w:val="0"/>
        <w:autoSpaceDN w:val="0"/>
        <w:adjustRightInd w:val="0"/>
        <w:spacing w:after="0" w:line="240" w:lineRule="auto"/>
        <w:rPr>
          <w:rFonts w:ascii="Garamond" w:eastAsia="Arial" w:hAnsi="Garamond" w:cstheme="majorHAnsi"/>
        </w:rPr>
      </w:pPr>
      <w:r w:rsidRPr="007E1F1C">
        <w:rPr>
          <w:rFonts w:ascii="Garamond" w:eastAsia="Arial" w:hAnsi="Garamond" w:cstheme="majorHAnsi"/>
        </w:rPr>
        <w:t>Limpieza de pozos y sumideros</w:t>
      </w:r>
    </w:p>
    <w:p w14:paraId="57A130EA" w14:textId="77777777" w:rsidR="00323D77" w:rsidRPr="00F85B8A" w:rsidRDefault="00323D77" w:rsidP="00323D77">
      <w:pPr>
        <w:widowControl w:val="0"/>
        <w:autoSpaceDE w:val="0"/>
        <w:autoSpaceDN w:val="0"/>
        <w:adjustRightInd w:val="0"/>
        <w:spacing w:after="0" w:line="240" w:lineRule="auto"/>
        <w:ind w:left="900"/>
        <w:rPr>
          <w:rFonts w:ascii="Garamond" w:eastAsia="Arial" w:hAnsi="Garamond" w:cstheme="majorHAnsi"/>
        </w:rPr>
      </w:pPr>
      <w:r w:rsidRPr="00F85B8A">
        <w:rPr>
          <w:rFonts w:ascii="Garamond" w:eastAsia="Arial" w:hAnsi="Garamond" w:cstheme="majorHAnsi"/>
        </w:rPr>
        <w:t>.</w:t>
      </w:r>
    </w:p>
    <w:p w14:paraId="5DDE74C5" w14:textId="77777777" w:rsidR="00323D77" w:rsidRPr="007E1F1C" w:rsidRDefault="00323D77" w:rsidP="00323D77">
      <w:pPr>
        <w:pStyle w:val="Prrafodelista"/>
        <w:widowControl w:val="0"/>
        <w:numPr>
          <w:ilvl w:val="1"/>
          <w:numId w:val="39"/>
        </w:numPr>
        <w:autoSpaceDE w:val="0"/>
        <w:autoSpaceDN w:val="0"/>
        <w:adjustRightInd w:val="0"/>
        <w:spacing w:after="0" w:line="240" w:lineRule="auto"/>
        <w:rPr>
          <w:rFonts w:ascii="Garamond" w:eastAsia="Arial" w:hAnsi="Garamond" w:cstheme="majorHAnsi"/>
        </w:rPr>
      </w:pPr>
      <w:r w:rsidRPr="007E1F1C">
        <w:rPr>
          <w:rFonts w:ascii="Garamond" w:eastAsia="Arial" w:hAnsi="Garamond" w:cstheme="majorHAnsi"/>
        </w:rPr>
        <w:t>Mantenimiento Periódico:</w:t>
      </w:r>
    </w:p>
    <w:p w14:paraId="3A329BC2" w14:textId="77777777" w:rsidR="00323D77" w:rsidRPr="007E1F1C" w:rsidRDefault="00323D77" w:rsidP="00323D77">
      <w:pPr>
        <w:pStyle w:val="Prrafodelista"/>
        <w:widowControl w:val="0"/>
        <w:numPr>
          <w:ilvl w:val="2"/>
          <w:numId w:val="39"/>
        </w:numPr>
        <w:autoSpaceDE w:val="0"/>
        <w:autoSpaceDN w:val="0"/>
        <w:adjustRightInd w:val="0"/>
        <w:spacing w:after="0" w:line="240" w:lineRule="auto"/>
        <w:rPr>
          <w:rFonts w:ascii="Garamond" w:eastAsia="Arial" w:hAnsi="Garamond" w:cstheme="majorHAnsi"/>
        </w:rPr>
      </w:pPr>
      <w:r w:rsidRPr="007E1F1C">
        <w:rPr>
          <w:rFonts w:ascii="Garamond" w:eastAsia="Arial" w:hAnsi="Garamond" w:cstheme="majorHAnsi"/>
        </w:rPr>
        <w:t xml:space="preserve">Parcheo </w:t>
      </w:r>
    </w:p>
    <w:p w14:paraId="428E346C" w14:textId="77777777" w:rsidR="00323D77" w:rsidRPr="007E1F1C" w:rsidRDefault="00323D77" w:rsidP="00323D77">
      <w:pPr>
        <w:pStyle w:val="Prrafodelista"/>
        <w:widowControl w:val="0"/>
        <w:numPr>
          <w:ilvl w:val="2"/>
          <w:numId w:val="39"/>
        </w:numPr>
        <w:autoSpaceDE w:val="0"/>
        <w:autoSpaceDN w:val="0"/>
        <w:adjustRightInd w:val="0"/>
        <w:spacing w:after="0" w:line="240" w:lineRule="auto"/>
        <w:rPr>
          <w:rFonts w:ascii="Garamond" w:eastAsia="Arial" w:hAnsi="Garamond" w:cstheme="majorHAnsi"/>
        </w:rPr>
      </w:pPr>
      <w:r w:rsidRPr="007E1F1C">
        <w:rPr>
          <w:rFonts w:ascii="Garamond" w:eastAsia="Arial" w:hAnsi="Garamond" w:cstheme="majorHAnsi"/>
        </w:rPr>
        <w:t>Bacheo</w:t>
      </w:r>
    </w:p>
    <w:p w14:paraId="647DEFFE" w14:textId="77777777" w:rsidR="00323D77" w:rsidRPr="007E1F1C" w:rsidRDefault="00323D77" w:rsidP="00323D77">
      <w:pPr>
        <w:pStyle w:val="Prrafodelista"/>
        <w:widowControl w:val="0"/>
        <w:numPr>
          <w:ilvl w:val="2"/>
          <w:numId w:val="39"/>
        </w:numPr>
        <w:autoSpaceDE w:val="0"/>
        <w:autoSpaceDN w:val="0"/>
        <w:adjustRightInd w:val="0"/>
        <w:spacing w:after="0" w:line="240" w:lineRule="auto"/>
        <w:rPr>
          <w:rFonts w:ascii="Garamond" w:eastAsia="Arial" w:hAnsi="Garamond" w:cstheme="majorHAnsi"/>
        </w:rPr>
      </w:pPr>
      <w:r w:rsidRPr="007E1F1C">
        <w:rPr>
          <w:rFonts w:ascii="Garamond" w:eastAsia="Arial" w:hAnsi="Garamond" w:cstheme="majorHAnsi"/>
        </w:rPr>
        <w:t>Cambios de carpeta</w:t>
      </w:r>
    </w:p>
    <w:p w14:paraId="4E6CDE88" w14:textId="77777777" w:rsidR="00323D77" w:rsidRPr="007E1F1C" w:rsidRDefault="00323D77" w:rsidP="00323D77">
      <w:pPr>
        <w:pStyle w:val="Prrafodelista"/>
        <w:widowControl w:val="0"/>
        <w:numPr>
          <w:ilvl w:val="2"/>
          <w:numId w:val="39"/>
        </w:numPr>
        <w:autoSpaceDE w:val="0"/>
        <w:autoSpaceDN w:val="0"/>
        <w:adjustRightInd w:val="0"/>
        <w:spacing w:after="0" w:line="240" w:lineRule="auto"/>
        <w:rPr>
          <w:rFonts w:ascii="Garamond" w:eastAsia="Arial" w:hAnsi="Garamond" w:cstheme="majorHAnsi"/>
        </w:rPr>
      </w:pPr>
      <w:r w:rsidRPr="007E1F1C">
        <w:rPr>
          <w:rFonts w:ascii="Garamond" w:eastAsia="Arial" w:hAnsi="Garamond" w:cstheme="majorHAnsi"/>
        </w:rPr>
        <w:t>Cambios de Losas</w:t>
      </w:r>
    </w:p>
    <w:p w14:paraId="41A1D987" w14:textId="77777777" w:rsidR="00323D77" w:rsidRPr="007E1F1C" w:rsidRDefault="00323D77" w:rsidP="00323D77">
      <w:pPr>
        <w:pStyle w:val="Prrafodelista"/>
        <w:widowControl w:val="0"/>
        <w:numPr>
          <w:ilvl w:val="1"/>
          <w:numId w:val="39"/>
        </w:numPr>
        <w:autoSpaceDE w:val="0"/>
        <w:autoSpaceDN w:val="0"/>
        <w:adjustRightInd w:val="0"/>
        <w:spacing w:after="0" w:line="240" w:lineRule="auto"/>
        <w:rPr>
          <w:rFonts w:ascii="Garamond" w:eastAsia="Arial" w:hAnsi="Garamond" w:cstheme="majorHAnsi"/>
        </w:rPr>
      </w:pPr>
      <w:proofErr w:type="gramStart"/>
      <w:r w:rsidRPr="007E1F1C">
        <w:rPr>
          <w:rFonts w:ascii="Garamond" w:eastAsia="Arial" w:hAnsi="Garamond" w:cstheme="majorHAnsi"/>
        </w:rPr>
        <w:t>Rehabilitación</w:t>
      </w:r>
      <w:r>
        <w:rPr>
          <w:rFonts w:ascii="Garamond" w:eastAsia="Arial" w:hAnsi="Garamond" w:cstheme="majorHAnsi"/>
        </w:rPr>
        <w:t>.</w:t>
      </w:r>
      <w:r w:rsidRPr="007E1F1C">
        <w:rPr>
          <w:rFonts w:ascii="Garamond" w:eastAsia="Arial" w:hAnsi="Garamond" w:cstheme="majorHAnsi"/>
        </w:rPr>
        <w:t>.</w:t>
      </w:r>
      <w:proofErr w:type="gramEnd"/>
    </w:p>
    <w:p w14:paraId="7922ECE0" w14:textId="77777777" w:rsidR="00323D77" w:rsidRDefault="00323D77" w:rsidP="00323D77">
      <w:pPr>
        <w:pStyle w:val="Prrafodelista"/>
        <w:widowControl w:val="0"/>
        <w:numPr>
          <w:ilvl w:val="1"/>
          <w:numId w:val="39"/>
        </w:numPr>
        <w:autoSpaceDE w:val="0"/>
        <w:autoSpaceDN w:val="0"/>
        <w:adjustRightInd w:val="0"/>
        <w:spacing w:after="0" w:line="240" w:lineRule="auto"/>
        <w:rPr>
          <w:rFonts w:ascii="Garamond" w:eastAsia="Arial" w:hAnsi="Garamond" w:cstheme="majorHAnsi"/>
        </w:rPr>
      </w:pPr>
      <w:r w:rsidRPr="007E1F1C">
        <w:rPr>
          <w:rFonts w:ascii="Garamond" w:eastAsia="Arial" w:hAnsi="Garamond" w:cstheme="majorHAnsi"/>
        </w:rPr>
        <w:t>Adecuación y mejoramiento de áreas y/o elementos que hacen parte del Sistema de Espacio Público peatonal y para el encuentro y el espacio público que hace parte del Sistema de Movilidad en el suelo urbano y rural.</w:t>
      </w:r>
    </w:p>
    <w:p w14:paraId="4BE64F9A" w14:textId="77777777" w:rsidR="00323D77" w:rsidRPr="007E1F1C" w:rsidRDefault="00323D77" w:rsidP="00323D77">
      <w:pPr>
        <w:pBdr>
          <w:top w:val="nil"/>
          <w:left w:val="nil"/>
          <w:bottom w:val="nil"/>
          <w:right w:val="nil"/>
          <w:between w:val="nil"/>
        </w:pBdr>
        <w:spacing w:after="0" w:line="240" w:lineRule="auto"/>
        <w:rPr>
          <w:rFonts w:ascii="Garamond" w:eastAsia="Calibri" w:hAnsi="Garamond" w:cstheme="majorHAnsi"/>
        </w:rPr>
      </w:pPr>
    </w:p>
    <w:p w14:paraId="5D889518" w14:textId="77777777" w:rsidR="00323D77" w:rsidRPr="00DC5EA2" w:rsidRDefault="00323D77" w:rsidP="00323D77">
      <w:pPr>
        <w:pStyle w:val="Prrafodelista"/>
        <w:numPr>
          <w:ilvl w:val="0"/>
          <w:numId w:val="39"/>
        </w:numPr>
        <w:spacing w:after="0" w:line="240" w:lineRule="auto"/>
        <w:rPr>
          <w:rFonts w:ascii="Garamond" w:eastAsia="Calibri" w:hAnsi="Garamond" w:cs="Arial"/>
          <w:b/>
          <w:bCs/>
        </w:rPr>
      </w:pPr>
      <w:r w:rsidRPr="00DC5EA2">
        <w:rPr>
          <w:rFonts w:ascii="Garamond" w:eastAsia="Calibri" w:hAnsi="Garamond" w:cs="Arial"/>
          <w:b/>
          <w:bCs/>
        </w:rPr>
        <w:t>Segmentos Priorizados Objeto del Convenio</w:t>
      </w:r>
    </w:p>
    <w:p w14:paraId="5BCCA4DD" w14:textId="77777777" w:rsidR="00323D77" w:rsidRDefault="00323D77" w:rsidP="00323D77">
      <w:pPr>
        <w:spacing w:after="0" w:line="240" w:lineRule="auto"/>
        <w:rPr>
          <w:rFonts w:ascii="Garamond" w:eastAsia="Calibri" w:hAnsi="Garamond" w:cs="Arial"/>
        </w:rPr>
      </w:pPr>
    </w:p>
    <w:p w14:paraId="54DDA8BF" w14:textId="77777777" w:rsidR="00323D77" w:rsidRPr="006E74A5" w:rsidRDefault="00323D77" w:rsidP="00323D77">
      <w:pPr>
        <w:spacing w:after="0" w:line="240" w:lineRule="auto"/>
        <w:rPr>
          <w:rFonts w:ascii="Garamond" w:eastAsia="Calibri" w:hAnsi="Garamond" w:cs="Arial"/>
        </w:rPr>
      </w:pPr>
      <w:r w:rsidRPr="006E74A5">
        <w:rPr>
          <w:rFonts w:ascii="Garamond" w:eastAsia="Calibri" w:hAnsi="Garamond" w:cs="Arial"/>
        </w:rPr>
        <w:t>Teniendo en cuenta las anteriores consideraciones</w:t>
      </w:r>
      <w:r w:rsidRPr="006E74A5">
        <w:rPr>
          <w:rFonts w:ascii="Garamond" w:eastAsia="Calibri" w:hAnsi="Garamond" w:cs="Arial"/>
          <w:b/>
          <w:bCs/>
          <w:i/>
          <w:iCs/>
        </w:rPr>
        <w:t>, el alcance técnico del convenio</w:t>
      </w:r>
      <w:r w:rsidRPr="006E74A5">
        <w:rPr>
          <w:rFonts w:ascii="Garamond" w:eastAsia="Calibri" w:hAnsi="Garamond" w:cs="Arial"/>
        </w:rPr>
        <w:t xml:space="preserve"> comporta las intervenciones a los siguientes </w:t>
      </w:r>
      <w:r w:rsidRPr="00263EC3">
        <w:rPr>
          <w:rFonts w:ascii="Garamond" w:eastAsia="Calibri" w:hAnsi="Garamond" w:cs="Arial"/>
        </w:rPr>
        <w:t>segmentos viales:</w:t>
      </w:r>
    </w:p>
    <w:p w14:paraId="569F87E5" w14:textId="77777777" w:rsidR="00323D77" w:rsidRDefault="00323D77" w:rsidP="00323D77">
      <w:pPr>
        <w:spacing w:after="0" w:line="240" w:lineRule="auto"/>
        <w:rPr>
          <w:rFonts w:ascii="Garamond" w:eastAsia="Calibri" w:hAnsi="Garamond" w:cs="Arial"/>
        </w:rPr>
      </w:pPr>
    </w:p>
    <w:tbl>
      <w:tblPr>
        <w:tblW w:w="8760" w:type="dxa"/>
        <w:tblCellMar>
          <w:left w:w="70" w:type="dxa"/>
          <w:right w:w="70" w:type="dxa"/>
        </w:tblCellMar>
        <w:tblLook w:val="04A0" w:firstRow="1" w:lastRow="0" w:firstColumn="1" w:lastColumn="0" w:noHBand="0" w:noVBand="1"/>
      </w:tblPr>
      <w:tblGrid>
        <w:gridCol w:w="659"/>
        <w:gridCol w:w="519"/>
        <w:gridCol w:w="1139"/>
        <w:gridCol w:w="603"/>
        <w:gridCol w:w="660"/>
        <w:gridCol w:w="600"/>
        <w:gridCol w:w="700"/>
        <w:gridCol w:w="518"/>
        <w:gridCol w:w="500"/>
        <w:gridCol w:w="700"/>
        <w:gridCol w:w="920"/>
        <w:gridCol w:w="1280"/>
      </w:tblGrid>
      <w:tr w:rsidR="00365596" w:rsidRPr="00365596" w14:paraId="36E64895" w14:textId="77777777" w:rsidTr="00365596">
        <w:trPr>
          <w:trHeight w:val="312"/>
        </w:trPr>
        <w:tc>
          <w:tcPr>
            <w:tcW w:w="659" w:type="dxa"/>
            <w:tcBorders>
              <w:top w:val="single" w:sz="4" w:space="0" w:color="auto"/>
              <w:left w:val="single" w:sz="4" w:space="0" w:color="auto"/>
              <w:bottom w:val="single" w:sz="4" w:space="0" w:color="auto"/>
              <w:right w:val="single" w:sz="4" w:space="0" w:color="auto"/>
            </w:tcBorders>
            <w:vAlign w:val="center"/>
            <w:hideMark/>
          </w:tcPr>
          <w:p w14:paraId="3975A16E" w14:textId="77777777" w:rsidR="00365596" w:rsidRPr="00365596" w:rsidRDefault="00365596" w:rsidP="00365596">
            <w:pPr>
              <w:spacing w:after="0" w:line="240" w:lineRule="auto"/>
              <w:jc w:val="center"/>
              <w:rPr>
                <w:rFonts w:ascii="Aptos Narrow" w:hAnsi="Aptos Narrow"/>
                <w:b/>
                <w:bCs/>
                <w:color w:val="000000"/>
                <w:sz w:val="12"/>
                <w:szCs w:val="12"/>
              </w:rPr>
            </w:pPr>
            <w:r w:rsidRPr="00365596">
              <w:rPr>
                <w:rFonts w:ascii="Aptos Narrow" w:hAnsi="Aptos Narrow"/>
                <w:b/>
                <w:bCs/>
                <w:color w:val="000000"/>
                <w:sz w:val="12"/>
                <w:szCs w:val="12"/>
              </w:rPr>
              <w:t>CIV</w:t>
            </w:r>
          </w:p>
        </w:tc>
        <w:tc>
          <w:tcPr>
            <w:tcW w:w="519" w:type="dxa"/>
            <w:tcBorders>
              <w:top w:val="single" w:sz="4" w:space="0" w:color="auto"/>
              <w:left w:val="nil"/>
              <w:bottom w:val="single" w:sz="4" w:space="0" w:color="auto"/>
              <w:right w:val="single" w:sz="4" w:space="0" w:color="auto"/>
            </w:tcBorders>
            <w:vAlign w:val="center"/>
            <w:hideMark/>
          </w:tcPr>
          <w:p w14:paraId="70BECB91" w14:textId="77777777" w:rsidR="00365596" w:rsidRPr="00365596" w:rsidRDefault="00365596" w:rsidP="00365596">
            <w:pPr>
              <w:spacing w:after="0" w:line="240" w:lineRule="auto"/>
              <w:jc w:val="center"/>
              <w:rPr>
                <w:rFonts w:ascii="Aptos Narrow" w:hAnsi="Aptos Narrow"/>
                <w:b/>
                <w:bCs/>
                <w:color w:val="000000"/>
                <w:sz w:val="12"/>
                <w:szCs w:val="12"/>
              </w:rPr>
            </w:pPr>
            <w:r w:rsidRPr="00365596">
              <w:rPr>
                <w:rFonts w:ascii="Aptos Narrow" w:hAnsi="Aptos Narrow"/>
                <w:b/>
                <w:bCs/>
                <w:color w:val="000000"/>
                <w:sz w:val="12"/>
                <w:szCs w:val="12"/>
              </w:rPr>
              <w:t>PKID</w:t>
            </w:r>
          </w:p>
        </w:tc>
        <w:tc>
          <w:tcPr>
            <w:tcW w:w="1139" w:type="dxa"/>
            <w:tcBorders>
              <w:top w:val="single" w:sz="4" w:space="0" w:color="auto"/>
              <w:left w:val="nil"/>
              <w:bottom w:val="single" w:sz="4" w:space="0" w:color="auto"/>
              <w:right w:val="single" w:sz="4" w:space="0" w:color="auto"/>
            </w:tcBorders>
            <w:vAlign w:val="center"/>
            <w:hideMark/>
          </w:tcPr>
          <w:p w14:paraId="629470A9" w14:textId="77777777" w:rsidR="00365596" w:rsidRPr="00365596" w:rsidRDefault="00365596" w:rsidP="00365596">
            <w:pPr>
              <w:spacing w:after="0" w:line="240" w:lineRule="auto"/>
              <w:jc w:val="center"/>
              <w:rPr>
                <w:rFonts w:ascii="Aptos Narrow" w:hAnsi="Aptos Narrow"/>
                <w:b/>
                <w:bCs/>
                <w:color w:val="000000"/>
                <w:sz w:val="12"/>
                <w:szCs w:val="12"/>
              </w:rPr>
            </w:pPr>
            <w:r w:rsidRPr="00365596">
              <w:rPr>
                <w:rFonts w:ascii="Aptos Narrow" w:hAnsi="Aptos Narrow"/>
                <w:b/>
                <w:bCs/>
                <w:color w:val="000000"/>
                <w:sz w:val="12"/>
                <w:szCs w:val="12"/>
              </w:rPr>
              <w:t>ACTIVIDAD</w:t>
            </w:r>
          </w:p>
        </w:tc>
        <w:tc>
          <w:tcPr>
            <w:tcW w:w="603" w:type="dxa"/>
            <w:tcBorders>
              <w:top w:val="single" w:sz="4" w:space="0" w:color="auto"/>
              <w:left w:val="nil"/>
              <w:bottom w:val="single" w:sz="4" w:space="0" w:color="auto"/>
              <w:right w:val="single" w:sz="4" w:space="0" w:color="auto"/>
            </w:tcBorders>
            <w:vAlign w:val="center"/>
            <w:hideMark/>
          </w:tcPr>
          <w:p w14:paraId="73B2EE50" w14:textId="77777777" w:rsidR="00365596" w:rsidRPr="00365596" w:rsidRDefault="00365596" w:rsidP="00365596">
            <w:pPr>
              <w:spacing w:after="0" w:line="240" w:lineRule="auto"/>
              <w:jc w:val="center"/>
              <w:rPr>
                <w:rFonts w:ascii="Aptos Narrow" w:hAnsi="Aptos Narrow"/>
                <w:b/>
                <w:bCs/>
                <w:color w:val="000000"/>
                <w:sz w:val="12"/>
                <w:szCs w:val="12"/>
              </w:rPr>
            </w:pPr>
            <w:r w:rsidRPr="00365596">
              <w:rPr>
                <w:rFonts w:ascii="Aptos Narrow" w:hAnsi="Aptos Narrow"/>
                <w:b/>
                <w:bCs/>
                <w:color w:val="000000"/>
                <w:sz w:val="12"/>
                <w:szCs w:val="12"/>
              </w:rPr>
              <w:t>EJE</w:t>
            </w:r>
          </w:p>
        </w:tc>
        <w:tc>
          <w:tcPr>
            <w:tcW w:w="660" w:type="dxa"/>
            <w:tcBorders>
              <w:top w:val="single" w:sz="4" w:space="0" w:color="auto"/>
              <w:left w:val="nil"/>
              <w:bottom w:val="single" w:sz="4" w:space="0" w:color="auto"/>
              <w:right w:val="single" w:sz="4" w:space="0" w:color="auto"/>
            </w:tcBorders>
            <w:vAlign w:val="center"/>
            <w:hideMark/>
          </w:tcPr>
          <w:p w14:paraId="326D7AFC" w14:textId="77777777" w:rsidR="00365596" w:rsidRPr="00365596" w:rsidRDefault="00365596" w:rsidP="00365596">
            <w:pPr>
              <w:spacing w:after="0" w:line="240" w:lineRule="auto"/>
              <w:jc w:val="center"/>
              <w:rPr>
                <w:rFonts w:ascii="Aptos Narrow" w:hAnsi="Aptos Narrow"/>
                <w:b/>
                <w:bCs/>
                <w:color w:val="000000"/>
                <w:sz w:val="12"/>
                <w:szCs w:val="12"/>
              </w:rPr>
            </w:pPr>
            <w:r w:rsidRPr="00365596">
              <w:rPr>
                <w:rFonts w:ascii="Aptos Narrow" w:hAnsi="Aptos Narrow"/>
                <w:b/>
                <w:bCs/>
                <w:color w:val="000000"/>
                <w:sz w:val="12"/>
                <w:szCs w:val="12"/>
              </w:rPr>
              <w:t>DESDE</w:t>
            </w:r>
          </w:p>
        </w:tc>
        <w:tc>
          <w:tcPr>
            <w:tcW w:w="600" w:type="dxa"/>
            <w:tcBorders>
              <w:top w:val="single" w:sz="4" w:space="0" w:color="auto"/>
              <w:left w:val="nil"/>
              <w:bottom w:val="single" w:sz="4" w:space="0" w:color="auto"/>
              <w:right w:val="single" w:sz="4" w:space="0" w:color="auto"/>
            </w:tcBorders>
            <w:vAlign w:val="center"/>
            <w:hideMark/>
          </w:tcPr>
          <w:p w14:paraId="2D13DC35" w14:textId="77777777" w:rsidR="00365596" w:rsidRPr="00365596" w:rsidRDefault="00365596" w:rsidP="00365596">
            <w:pPr>
              <w:spacing w:after="0" w:line="240" w:lineRule="auto"/>
              <w:jc w:val="center"/>
              <w:rPr>
                <w:rFonts w:ascii="Aptos Narrow" w:hAnsi="Aptos Narrow"/>
                <w:b/>
                <w:bCs/>
                <w:color w:val="000000"/>
                <w:sz w:val="12"/>
                <w:szCs w:val="12"/>
              </w:rPr>
            </w:pPr>
            <w:r w:rsidRPr="00365596">
              <w:rPr>
                <w:rFonts w:ascii="Aptos Narrow" w:hAnsi="Aptos Narrow"/>
                <w:b/>
                <w:bCs/>
                <w:color w:val="000000"/>
                <w:sz w:val="12"/>
                <w:szCs w:val="12"/>
              </w:rPr>
              <w:t>HASTA</w:t>
            </w:r>
          </w:p>
        </w:tc>
        <w:tc>
          <w:tcPr>
            <w:tcW w:w="700" w:type="dxa"/>
            <w:tcBorders>
              <w:top w:val="single" w:sz="4" w:space="0" w:color="auto"/>
              <w:left w:val="nil"/>
              <w:bottom w:val="single" w:sz="4" w:space="0" w:color="auto"/>
              <w:right w:val="single" w:sz="4" w:space="0" w:color="auto"/>
            </w:tcBorders>
            <w:vAlign w:val="center"/>
            <w:hideMark/>
          </w:tcPr>
          <w:p w14:paraId="6DF39BBE" w14:textId="77777777" w:rsidR="00365596" w:rsidRPr="00365596" w:rsidRDefault="00365596" w:rsidP="00365596">
            <w:pPr>
              <w:spacing w:after="0" w:line="240" w:lineRule="auto"/>
              <w:jc w:val="center"/>
              <w:rPr>
                <w:rFonts w:ascii="Aptos Narrow" w:hAnsi="Aptos Narrow"/>
                <w:b/>
                <w:bCs/>
                <w:color w:val="000000"/>
                <w:sz w:val="12"/>
                <w:szCs w:val="12"/>
              </w:rPr>
            </w:pPr>
            <w:r w:rsidRPr="00365596">
              <w:rPr>
                <w:rFonts w:ascii="Aptos Narrow" w:hAnsi="Aptos Narrow"/>
                <w:b/>
                <w:bCs/>
                <w:color w:val="000000"/>
                <w:sz w:val="12"/>
                <w:szCs w:val="12"/>
              </w:rPr>
              <w:t>LONGITUD (m)</w:t>
            </w:r>
          </w:p>
        </w:tc>
        <w:tc>
          <w:tcPr>
            <w:tcW w:w="480" w:type="dxa"/>
            <w:tcBorders>
              <w:top w:val="single" w:sz="4" w:space="0" w:color="auto"/>
              <w:left w:val="nil"/>
              <w:bottom w:val="single" w:sz="4" w:space="0" w:color="auto"/>
              <w:right w:val="single" w:sz="4" w:space="0" w:color="auto"/>
            </w:tcBorders>
            <w:vAlign w:val="center"/>
            <w:hideMark/>
          </w:tcPr>
          <w:p w14:paraId="35AAB498" w14:textId="77777777" w:rsidR="00365596" w:rsidRPr="00365596" w:rsidRDefault="00365596" w:rsidP="00365596">
            <w:pPr>
              <w:spacing w:after="0" w:line="240" w:lineRule="auto"/>
              <w:jc w:val="center"/>
              <w:rPr>
                <w:rFonts w:ascii="Aptos Narrow" w:hAnsi="Aptos Narrow"/>
                <w:b/>
                <w:bCs/>
                <w:color w:val="000000"/>
                <w:sz w:val="12"/>
                <w:szCs w:val="12"/>
              </w:rPr>
            </w:pPr>
            <w:r w:rsidRPr="00365596">
              <w:rPr>
                <w:rFonts w:ascii="Aptos Narrow" w:hAnsi="Aptos Narrow"/>
                <w:b/>
                <w:bCs/>
                <w:color w:val="000000"/>
                <w:sz w:val="12"/>
                <w:szCs w:val="12"/>
              </w:rPr>
              <w:t>ANCHO (m)</w:t>
            </w:r>
          </w:p>
        </w:tc>
        <w:tc>
          <w:tcPr>
            <w:tcW w:w="500" w:type="dxa"/>
            <w:tcBorders>
              <w:top w:val="single" w:sz="4" w:space="0" w:color="auto"/>
              <w:left w:val="nil"/>
              <w:bottom w:val="single" w:sz="4" w:space="0" w:color="auto"/>
              <w:right w:val="single" w:sz="4" w:space="0" w:color="auto"/>
            </w:tcBorders>
            <w:vAlign w:val="center"/>
            <w:hideMark/>
          </w:tcPr>
          <w:p w14:paraId="70DF0CB3" w14:textId="77777777" w:rsidR="00365596" w:rsidRPr="00365596" w:rsidRDefault="00365596" w:rsidP="00365596">
            <w:pPr>
              <w:spacing w:after="0" w:line="240" w:lineRule="auto"/>
              <w:jc w:val="center"/>
              <w:rPr>
                <w:rFonts w:ascii="Aptos Narrow" w:hAnsi="Aptos Narrow"/>
                <w:b/>
                <w:bCs/>
                <w:color w:val="000000"/>
                <w:sz w:val="12"/>
                <w:szCs w:val="12"/>
              </w:rPr>
            </w:pPr>
            <w:r w:rsidRPr="00365596">
              <w:rPr>
                <w:rFonts w:ascii="Aptos Narrow" w:hAnsi="Aptos Narrow"/>
                <w:b/>
                <w:bCs/>
                <w:color w:val="000000"/>
                <w:sz w:val="12"/>
                <w:szCs w:val="12"/>
              </w:rPr>
              <w:t>AREA</w:t>
            </w:r>
          </w:p>
        </w:tc>
        <w:tc>
          <w:tcPr>
            <w:tcW w:w="700" w:type="dxa"/>
            <w:tcBorders>
              <w:top w:val="single" w:sz="4" w:space="0" w:color="auto"/>
              <w:left w:val="nil"/>
              <w:bottom w:val="single" w:sz="4" w:space="0" w:color="auto"/>
              <w:right w:val="single" w:sz="4" w:space="0" w:color="auto"/>
            </w:tcBorders>
            <w:vAlign w:val="center"/>
            <w:hideMark/>
          </w:tcPr>
          <w:p w14:paraId="37F714EE" w14:textId="77777777" w:rsidR="00365596" w:rsidRPr="00365596" w:rsidRDefault="00365596" w:rsidP="00365596">
            <w:pPr>
              <w:spacing w:after="0" w:line="240" w:lineRule="auto"/>
              <w:jc w:val="center"/>
              <w:rPr>
                <w:rFonts w:ascii="Aptos Narrow" w:hAnsi="Aptos Narrow"/>
                <w:b/>
                <w:bCs/>
                <w:color w:val="000000"/>
                <w:sz w:val="12"/>
                <w:szCs w:val="12"/>
              </w:rPr>
            </w:pPr>
            <w:r w:rsidRPr="00365596">
              <w:rPr>
                <w:rFonts w:ascii="Aptos Narrow" w:hAnsi="Aptos Narrow"/>
                <w:b/>
                <w:bCs/>
                <w:color w:val="000000"/>
                <w:sz w:val="12"/>
                <w:szCs w:val="12"/>
              </w:rPr>
              <w:t>CANTIDAD ESTIMADA</w:t>
            </w:r>
          </w:p>
        </w:tc>
        <w:tc>
          <w:tcPr>
            <w:tcW w:w="920" w:type="dxa"/>
            <w:tcBorders>
              <w:top w:val="single" w:sz="4" w:space="0" w:color="auto"/>
              <w:left w:val="nil"/>
              <w:bottom w:val="single" w:sz="4" w:space="0" w:color="auto"/>
              <w:right w:val="single" w:sz="4" w:space="0" w:color="auto"/>
            </w:tcBorders>
            <w:vAlign w:val="center"/>
            <w:hideMark/>
          </w:tcPr>
          <w:p w14:paraId="1CEAC980" w14:textId="77777777" w:rsidR="00365596" w:rsidRPr="00365596" w:rsidRDefault="00365596" w:rsidP="00365596">
            <w:pPr>
              <w:spacing w:after="0" w:line="240" w:lineRule="auto"/>
              <w:jc w:val="center"/>
              <w:rPr>
                <w:rFonts w:ascii="Aptos Narrow" w:hAnsi="Aptos Narrow"/>
                <w:b/>
                <w:bCs/>
                <w:color w:val="000000"/>
                <w:sz w:val="12"/>
                <w:szCs w:val="12"/>
              </w:rPr>
            </w:pPr>
            <w:r w:rsidRPr="00365596">
              <w:rPr>
                <w:rFonts w:ascii="Aptos Narrow" w:hAnsi="Aptos Narrow"/>
                <w:b/>
                <w:bCs/>
                <w:color w:val="000000"/>
                <w:sz w:val="12"/>
                <w:szCs w:val="12"/>
              </w:rPr>
              <w:t>COSTO UMV</w:t>
            </w:r>
          </w:p>
        </w:tc>
        <w:tc>
          <w:tcPr>
            <w:tcW w:w="1280" w:type="dxa"/>
            <w:tcBorders>
              <w:top w:val="single" w:sz="4" w:space="0" w:color="auto"/>
              <w:left w:val="nil"/>
              <w:bottom w:val="single" w:sz="4" w:space="0" w:color="auto"/>
              <w:right w:val="single" w:sz="4" w:space="0" w:color="auto"/>
            </w:tcBorders>
            <w:vAlign w:val="center"/>
            <w:hideMark/>
          </w:tcPr>
          <w:p w14:paraId="76410193" w14:textId="77777777" w:rsidR="00365596" w:rsidRPr="00365596" w:rsidRDefault="00365596" w:rsidP="00365596">
            <w:pPr>
              <w:spacing w:after="0" w:line="240" w:lineRule="auto"/>
              <w:jc w:val="center"/>
              <w:rPr>
                <w:rFonts w:ascii="Aptos Narrow" w:hAnsi="Aptos Narrow"/>
                <w:b/>
                <w:bCs/>
                <w:color w:val="000000"/>
                <w:sz w:val="12"/>
                <w:szCs w:val="12"/>
              </w:rPr>
            </w:pPr>
            <w:r w:rsidRPr="00365596">
              <w:rPr>
                <w:rFonts w:ascii="Aptos Narrow" w:hAnsi="Aptos Narrow"/>
                <w:b/>
                <w:bCs/>
                <w:color w:val="000000"/>
                <w:sz w:val="12"/>
                <w:szCs w:val="12"/>
              </w:rPr>
              <w:t>VALOR TOTAL</w:t>
            </w:r>
          </w:p>
        </w:tc>
      </w:tr>
      <w:tr w:rsidR="00365596" w:rsidRPr="00365596" w14:paraId="0AA4682A" w14:textId="77777777" w:rsidTr="00365596">
        <w:trPr>
          <w:trHeight w:val="336"/>
        </w:trPr>
        <w:tc>
          <w:tcPr>
            <w:tcW w:w="659" w:type="dxa"/>
            <w:tcBorders>
              <w:top w:val="nil"/>
              <w:left w:val="single" w:sz="4" w:space="0" w:color="auto"/>
              <w:bottom w:val="single" w:sz="4" w:space="0" w:color="auto"/>
              <w:right w:val="single" w:sz="4" w:space="0" w:color="auto"/>
            </w:tcBorders>
            <w:noWrap/>
            <w:vAlign w:val="center"/>
            <w:hideMark/>
          </w:tcPr>
          <w:p w14:paraId="3B7B506D"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14000876</w:t>
            </w:r>
          </w:p>
        </w:tc>
        <w:tc>
          <w:tcPr>
            <w:tcW w:w="519" w:type="dxa"/>
            <w:tcBorders>
              <w:top w:val="nil"/>
              <w:left w:val="nil"/>
              <w:bottom w:val="single" w:sz="4" w:space="0" w:color="auto"/>
              <w:right w:val="single" w:sz="4" w:space="0" w:color="auto"/>
            </w:tcBorders>
            <w:noWrap/>
            <w:vAlign w:val="center"/>
            <w:hideMark/>
          </w:tcPr>
          <w:p w14:paraId="04C92657"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183305</w:t>
            </w:r>
          </w:p>
        </w:tc>
        <w:tc>
          <w:tcPr>
            <w:tcW w:w="1139" w:type="dxa"/>
            <w:tcBorders>
              <w:top w:val="nil"/>
              <w:left w:val="nil"/>
              <w:bottom w:val="single" w:sz="4" w:space="0" w:color="auto"/>
              <w:right w:val="single" w:sz="4" w:space="0" w:color="auto"/>
            </w:tcBorders>
            <w:vAlign w:val="center"/>
            <w:hideMark/>
          </w:tcPr>
          <w:p w14:paraId="33D088AF"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MANTENIMIENTO PERIODICO</w:t>
            </w:r>
          </w:p>
        </w:tc>
        <w:tc>
          <w:tcPr>
            <w:tcW w:w="603" w:type="dxa"/>
            <w:tcBorders>
              <w:top w:val="nil"/>
              <w:left w:val="nil"/>
              <w:bottom w:val="single" w:sz="4" w:space="0" w:color="auto"/>
              <w:right w:val="single" w:sz="4" w:space="0" w:color="auto"/>
            </w:tcBorders>
            <w:noWrap/>
            <w:vAlign w:val="center"/>
            <w:hideMark/>
          </w:tcPr>
          <w:p w14:paraId="62187A70"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6A</w:t>
            </w:r>
          </w:p>
        </w:tc>
        <w:tc>
          <w:tcPr>
            <w:tcW w:w="660" w:type="dxa"/>
            <w:tcBorders>
              <w:top w:val="nil"/>
              <w:left w:val="nil"/>
              <w:bottom w:val="single" w:sz="4" w:space="0" w:color="auto"/>
              <w:right w:val="single" w:sz="4" w:space="0" w:color="auto"/>
            </w:tcBorders>
            <w:noWrap/>
            <w:vAlign w:val="center"/>
            <w:hideMark/>
          </w:tcPr>
          <w:p w14:paraId="601E04DC"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CRA 20 </w:t>
            </w:r>
            <w:r w:rsidRPr="00365596">
              <w:rPr>
                <w:rFonts w:ascii="Aptos Narrow" w:hAnsi="Aptos Narrow"/>
                <w:sz w:val="12"/>
                <w:szCs w:val="12"/>
              </w:rPr>
              <w:t>A</w:t>
            </w:r>
          </w:p>
        </w:tc>
        <w:tc>
          <w:tcPr>
            <w:tcW w:w="600" w:type="dxa"/>
            <w:tcBorders>
              <w:top w:val="nil"/>
              <w:left w:val="nil"/>
              <w:bottom w:val="single" w:sz="4" w:space="0" w:color="auto"/>
              <w:right w:val="single" w:sz="4" w:space="0" w:color="auto"/>
            </w:tcBorders>
            <w:noWrap/>
            <w:vAlign w:val="center"/>
            <w:hideMark/>
          </w:tcPr>
          <w:p w14:paraId="7AAD5485"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21</w:t>
            </w:r>
          </w:p>
        </w:tc>
        <w:tc>
          <w:tcPr>
            <w:tcW w:w="700" w:type="dxa"/>
            <w:tcBorders>
              <w:top w:val="nil"/>
              <w:left w:val="nil"/>
              <w:bottom w:val="single" w:sz="4" w:space="0" w:color="auto"/>
              <w:right w:val="single" w:sz="4" w:space="0" w:color="auto"/>
            </w:tcBorders>
            <w:noWrap/>
            <w:vAlign w:val="center"/>
            <w:hideMark/>
          </w:tcPr>
          <w:p w14:paraId="66906208"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42.54</w:t>
            </w:r>
          </w:p>
        </w:tc>
        <w:tc>
          <w:tcPr>
            <w:tcW w:w="480" w:type="dxa"/>
            <w:tcBorders>
              <w:top w:val="nil"/>
              <w:left w:val="nil"/>
              <w:bottom w:val="single" w:sz="4" w:space="0" w:color="auto"/>
              <w:right w:val="single" w:sz="4" w:space="0" w:color="auto"/>
            </w:tcBorders>
            <w:noWrap/>
            <w:vAlign w:val="center"/>
            <w:hideMark/>
          </w:tcPr>
          <w:p w14:paraId="4C0DC684"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6.46</w:t>
            </w:r>
          </w:p>
        </w:tc>
        <w:tc>
          <w:tcPr>
            <w:tcW w:w="500" w:type="dxa"/>
            <w:tcBorders>
              <w:top w:val="nil"/>
              <w:left w:val="nil"/>
              <w:bottom w:val="single" w:sz="4" w:space="0" w:color="auto"/>
              <w:right w:val="single" w:sz="4" w:space="0" w:color="auto"/>
            </w:tcBorders>
            <w:noWrap/>
            <w:vAlign w:val="center"/>
            <w:hideMark/>
          </w:tcPr>
          <w:p w14:paraId="47858839"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274.81</w:t>
            </w:r>
          </w:p>
        </w:tc>
        <w:tc>
          <w:tcPr>
            <w:tcW w:w="700" w:type="dxa"/>
            <w:tcBorders>
              <w:top w:val="nil"/>
              <w:left w:val="nil"/>
              <w:bottom w:val="single" w:sz="4" w:space="0" w:color="auto"/>
              <w:right w:val="single" w:sz="4" w:space="0" w:color="auto"/>
            </w:tcBorders>
            <w:noWrap/>
            <w:vAlign w:val="center"/>
            <w:hideMark/>
          </w:tcPr>
          <w:p w14:paraId="68C7DD7A"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137.40</w:t>
            </w:r>
          </w:p>
        </w:tc>
        <w:tc>
          <w:tcPr>
            <w:tcW w:w="920" w:type="dxa"/>
            <w:tcBorders>
              <w:top w:val="nil"/>
              <w:left w:val="nil"/>
              <w:bottom w:val="single" w:sz="4" w:space="0" w:color="auto"/>
              <w:right w:val="single" w:sz="4" w:space="0" w:color="auto"/>
            </w:tcBorders>
            <w:noWrap/>
            <w:vAlign w:val="center"/>
            <w:hideMark/>
          </w:tcPr>
          <w:p w14:paraId="56888B4D"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$ 274,749.00 </w:t>
            </w:r>
          </w:p>
        </w:tc>
        <w:tc>
          <w:tcPr>
            <w:tcW w:w="1280" w:type="dxa"/>
            <w:tcBorders>
              <w:top w:val="nil"/>
              <w:left w:val="nil"/>
              <w:bottom w:val="single" w:sz="4" w:space="0" w:color="auto"/>
              <w:right w:val="single" w:sz="4" w:space="0" w:color="auto"/>
            </w:tcBorders>
            <w:noWrap/>
            <w:vAlign w:val="center"/>
            <w:hideMark/>
          </w:tcPr>
          <w:p w14:paraId="4F54FE16"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37,751,666.55 </w:t>
            </w:r>
          </w:p>
        </w:tc>
      </w:tr>
      <w:tr w:rsidR="00365596" w:rsidRPr="00365596" w14:paraId="07F0591B" w14:textId="77777777" w:rsidTr="00365596">
        <w:trPr>
          <w:trHeight w:val="336"/>
        </w:trPr>
        <w:tc>
          <w:tcPr>
            <w:tcW w:w="659" w:type="dxa"/>
            <w:tcBorders>
              <w:top w:val="nil"/>
              <w:left w:val="single" w:sz="4" w:space="0" w:color="auto"/>
              <w:bottom w:val="single" w:sz="4" w:space="0" w:color="auto"/>
              <w:right w:val="single" w:sz="4" w:space="0" w:color="auto"/>
            </w:tcBorders>
            <w:noWrap/>
            <w:vAlign w:val="center"/>
            <w:hideMark/>
          </w:tcPr>
          <w:p w14:paraId="603CC263"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14000799</w:t>
            </w:r>
          </w:p>
        </w:tc>
        <w:tc>
          <w:tcPr>
            <w:tcW w:w="519" w:type="dxa"/>
            <w:tcBorders>
              <w:top w:val="nil"/>
              <w:left w:val="nil"/>
              <w:bottom w:val="single" w:sz="4" w:space="0" w:color="auto"/>
              <w:right w:val="single" w:sz="4" w:space="0" w:color="auto"/>
            </w:tcBorders>
            <w:noWrap/>
            <w:vAlign w:val="center"/>
            <w:hideMark/>
          </w:tcPr>
          <w:p w14:paraId="15FA3379"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183307</w:t>
            </w:r>
          </w:p>
        </w:tc>
        <w:tc>
          <w:tcPr>
            <w:tcW w:w="1139" w:type="dxa"/>
            <w:tcBorders>
              <w:top w:val="nil"/>
              <w:left w:val="nil"/>
              <w:bottom w:val="single" w:sz="4" w:space="0" w:color="auto"/>
              <w:right w:val="single" w:sz="4" w:space="0" w:color="auto"/>
            </w:tcBorders>
            <w:vAlign w:val="center"/>
            <w:hideMark/>
          </w:tcPr>
          <w:p w14:paraId="3A9564D3"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MANTENIMIENTO PERIODICO</w:t>
            </w:r>
          </w:p>
        </w:tc>
        <w:tc>
          <w:tcPr>
            <w:tcW w:w="603" w:type="dxa"/>
            <w:tcBorders>
              <w:top w:val="nil"/>
              <w:left w:val="nil"/>
              <w:bottom w:val="single" w:sz="4" w:space="0" w:color="auto"/>
              <w:right w:val="single" w:sz="4" w:space="0" w:color="auto"/>
            </w:tcBorders>
            <w:noWrap/>
            <w:vAlign w:val="center"/>
            <w:hideMark/>
          </w:tcPr>
          <w:p w14:paraId="1049D184"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7</w:t>
            </w:r>
          </w:p>
        </w:tc>
        <w:tc>
          <w:tcPr>
            <w:tcW w:w="660" w:type="dxa"/>
            <w:tcBorders>
              <w:top w:val="nil"/>
              <w:left w:val="nil"/>
              <w:bottom w:val="single" w:sz="4" w:space="0" w:color="auto"/>
              <w:right w:val="single" w:sz="4" w:space="0" w:color="auto"/>
            </w:tcBorders>
            <w:noWrap/>
            <w:vAlign w:val="center"/>
            <w:hideMark/>
          </w:tcPr>
          <w:p w14:paraId="7AF766C7"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21A</w:t>
            </w:r>
          </w:p>
        </w:tc>
        <w:tc>
          <w:tcPr>
            <w:tcW w:w="600" w:type="dxa"/>
            <w:tcBorders>
              <w:top w:val="nil"/>
              <w:left w:val="nil"/>
              <w:bottom w:val="single" w:sz="4" w:space="0" w:color="auto"/>
              <w:right w:val="single" w:sz="4" w:space="0" w:color="auto"/>
            </w:tcBorders>
            <w:noWrap/>
            <w:vAlign w:val="center"/>
            <w:hideMark/>
          </w:tcPr>
          <w:p w14:paraId="002ED87B"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22</w:t>
            </w:r>
          </w:p>
        </w:tc>
        <w:tc>
          <w:tcPr>
            <w:tcW w:w="700" w:type="dxa"/>
            <w:tcBorders>
              <w:top w:val="nil"/>
              <w:left w:val="nil"/>
              <w:bottom w:val="single" w:sz="4" w:space="0" w:color="auto"/>
              <w:right w:val="single" w:sz="4" w:space="0" w:color="auto"/>
            </w:tcBorders>
            <w:noWrap/>
            <w:vAlign w:val="center"/>
            <w:hideMark/>
          </w:tcPr>
          <w:p w14:paraId="2033A7A6"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33.46</w:t>
            </w:r>
          </w:p>
        </w:tc>
        <w:tc>
          <w:tcPr>
            <w:tcW w:w="480" w:type="dxa"/>
            <w:tcBorders>
              <w:top w:val="nil"/>
              <w:left w:val="nil"/>
              <w:bottom w:val="single" w:sz="4" w:space="0" w:color="auto"/>
              <w:right w:val="single" w:sz="4" w:space="0" w:color="auto"/>
            </w:tcBorders>
            <w:noWrap/>
            <w:vAlign w:val="center"/>
            <w:hideMark/>
          </w:tcPr>
          <w:p w14:paraId="78B35149"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9.96</w:t>
            </w:r>
          </w:p>
        </w:tc>
        <w:tc>
          <w:tcPr>
            <w:tcW w:w="500" w:type="dxa"/>
            <w:tcBorders>
              <w:top w:val="nil"/>
              <w:left w:val="nil"/>
              <w:bottom w:val="single" w:sz="4" w:space="0" w:color="auto"/>
              <w:right w:val="single" w:sz="4" w:space="0" w:color="auto"/>
            </w:tcBorders>
            <w:noWrap/>
            <w:vAlign w:val="center"/>
            <w:hideMark/>
          </w:tcPr>
          <w:p w14:paraId="12425EC6"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333.26</w:t>
            </w:r>
          </w:p>
        </w:tc>
        <w:tc>
          <w:tcPr>
            <w:tcW w:w="700" w:type="dxa"/>
            <w:tcBorders>
              <w:top w:val="nil"/>
              <w:left w:val="nil"/>
              <w:bottom w:val="single" w:sz="4" w:space="0" w:color="auto"/>
              <w:right w:val="single" w:sz="4" w:space="0" w:color="auto"/>
            </w:tcBorders>
            <w:noWrap/>
            <w:vAlign w:val="center"/>
            <w:hideMark/>
          </w:tcPr>
          <w:p w14:paraId="173A9225"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166.63</w:t>
            </w:r>
          </w:p>
        </w:tc>
        <w:tc>
          <w:tcPr>
            <w:tcW w:w="920" w:type="dxa"/>
            <w:tcBorders>
              <w:top w:val="nil"/>
              <w:left w:val="nil"/>
              <w:bottom w:val="single" w:sz="4" w:space="0" w:color="auto"/>
              <w:right w:val="single" w:sz="4" w:space="0" w:color="auto"/>
            </w:tcBorders>
            <w:noWrap/>
            <w:vAlign w:val="center"/>
            <w:hideMark/>
          </w:tcPr>
          <w:p w14:paraId="3D056278"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$ 274,749.00 </w:t>
            </w:r>
          </w:p>
        </w:tc>
        <w:tc>
          <w:tcPr>
            <w:tcW w:w="1280" w:type="dxa"/>
            <w:tcBorders>
              <w:top w:val="nil"/>
              <w:left w:val="nil"/>
              <w:bottom w:val="single" w:sz="4" w:space="0" w:color="auto"/>
              <w:right w:val="single" w:sz="4" w:space="0" w:color="auto"/>
            </w:tcBorders>
            <w:noWrap/>
            <w:vAlign w:val="center"/>
            <w:hideMark/>
          </w:tcPr>
          <w:p w14:paraId="129F64F2"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45,781,645.67 </w:t>
            </w:r>
          </w:p>
        </w:tc>
      </w:tr>
      <w:tr w:rsidR="00365596" w:rsidRPr="00365596" w14:paraId="694725FF" w14:textId="77777777" w:rsidTr="00365596">
        <w:trPr>
          <w:trHeight w:val="336"/>
        </w:trPr>
        <w:tc>
          <w:tcPr>
            <w:tcW w:w="659" w:type="dxa"/>
            <w:tcBorders>
              <w:top w:val="nil"/>
              <w:left w:val="single" w:sz="4" w:space="0" w:color="auto"/>
              <w:bottom w:val="single" w:sz="4" w:space="0" w:color="auto"/>
              <w:right w:val="single" w:sz="4" w:space="0" w:color="auto"/>
            </w:tcBorders>
            <w:noWrap/>
            <w:vAlign w:val="center"/>
            <w:hideMark/>
          </w:tcPr>
          <w:p w14:paraId="2A971556"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14000796</w:t>
            </w:r>
          </w:p>
        </w:tc>
        <w:tc>
          <w:tcPr>
            <w:tcW w:w="519" w:type="dxa"/>
            <w:tcBorders>
              <w:top w:val="nil"/>
              <w:left w:val="nil"/>
              <w:bottom w:val="single" w:sz="4" w:space="0" w:color="auto"/>
              <w:right w:val="single" w:sz="4" w:space="0" w:color="auto"/>
            </w:tcBorders>
            <w:noWrap/>
            <w:vAlign w:val="center"/>
            <w:hideMark/>
          </w:tcPr>
          <w:p w14:paraId="011A4463"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18320</w:t>
            </w:r>
          </w:p>
        </w:tc>
        <w:tc>
          <w:tcPr>
            <w:tcW w:w="1139" w:type="dxa"/>
            <w:tcBorders>
              <w:top w:val="nil"/>
              <w:left w:val="nil"/>
              <w:bottom w:val="single" w:sz="4" w:space="0" w:color="auto"/>
              <w:right w:val="single" w:sz="4" w:space="0" w:color="auto"/>
            </w:tcBorders>
            <w:vAlign w:val="center"/>
            <w:hideMark/>
          </w:tcPr>
          <w:p w14:paraId="67BE29A8"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MANTENIMIENTO PERIODICO</w:t>
            </w:r>
          </w:p>
        </w:tc>
        <w:tc>
          <w:tcPr>
            <w:tcW w:w="603" w:type="dxa"/>
            <w:tcBorders>
              <w:top w:val="nil"/>
              <w:left w:val="nil"/>
              <w:bottom w:val="single" w:sz="4" w:space="0" w:color="auto"/>
              <w:right w:val="single" w:sz="4" w:space="0" w:color="auto"/>
            </w:tcBorders>
            <w:noWrap/>
            <w:vAlign w:val="center"/>
            <w:hideMark/>
          </w:tcPr>
          <w:p w14:paraId="05510BDF"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21</w:t>
            </w:r>
          </w:p>
        </w:tc>
        <w:tc>
          <w:tcPr>
            <w:tcW w:w="660" w:type="dxa"/>
            <w:tcBorders>
              <w:top w:val="nil"/>
              <w:left w:val="nil"/>
              <w:bottom w:val="single" w:sz="4" w:space="0" w:color="auto"/>
              <w:right w:val="single" w:sz="4" w:space="0" w:color="auto"/>
            </w:tcBorders>
            <w:noWrap/>
            <w:vAlign w:val="center"/>
            <w:hideMark/>
          </w:tcPr>
          <w:p w14:paraId="11410FEE"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7</w:t>
            </w:r>
          </w:p>
        </w:tc>
        <w:tc>
          <w:tcPr>
            <w:tcW w:w="600" w:type="dxa"/>
            <w:tcBorders>
              <w:top w:val="nil"/>
              <w:left w:val="nil"/>
              <w:bottom w:val="single" w:sz="4" w:space="0" w:color="auto"/>
              <w:right w:val="single" w:sz="4" w:space="0" w:color="auto"/>
            </w:tcBorders>
            <w:noWrap/>
            <w:vAlign w:val="center"/>
            <w:hideMark/>
          </w:tcPr>
          <w:p w14:paraId="080CCD7E"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8</w:t>
            </w:r>
          </w:p>
        </w:tc>
        <w:tc>
          <w:tcPr>
            <w:tcW w:w="700" w:type="dxa"/>
            <w:tcBorders>
              <w:top w:val="nil"/>
              <w:left w:val="nil"/>
              <w:bottom w:val="single" w:sz="4" w:space="0" w:color="auto"/>
              <w:right w:val="single" w:sz="4" w:space="0" w:color="auto"/>
            </w:tcBorders>
            <w:noWrap/>
            <w:vAlign w:val="center"/>
            <w:hideMark/>
          </w:tcPr>
          <w:p w14:paraId="6E341ECE"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101.05</w:t>
            </w:r>
          </w:p>
        </w:tc>
        <w:tc>
          <w:tcPr>
            <w:tcW w:w="480" w:type="dxa"/>
            <w:tcBorders>
              <w:top w:val="nil"/>
              <w:left w:val="nil"/>
              <w:bottom w:val="single" w:sz="4" w:space="0" w:color="auto"/>
              <w:right w:val="single" w:sz="4" w:space="0" w:color="auto"/>
            </w:tcBorders>
            <w:noWrap/>
            <w:vAlign w:val="center"/>
            <w:hideMark/>
          </w:tcPr>
          <w:p w14:paraId="608EC257"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9.63</w:t>
            </w:r>
          </w:p>
        </w:tc>
        <w:tc>
          <w:tcPr>
            <w:tcW w:w="500" w:type="dxa"/>
            <w:tcBorders>
              <w:top w:val="nil"/>
              <w:left w:val="nil"/>
              <w:bottom w:val="single" w:sz="4" w:space="0" w:color="auto"/>
              <w:right w:val="single" w:sz="4" w:space="0" w:color="auto"/>
            </w:tcBorders>
            <w:noWrap/>
            <w:vAlign w:val="center"/>
            <w:hideMark/>
          </w:tcPr>
          <w:p w14:paraId="5FC26709"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973.11</w:t>
            </w:r>
          </w:p>
        </w:tc>
        <w:tc>
          <w:tcPr>
            <w:tcW w:w="700" w:type="dxa"/>
            <w:tcBorders>
              <w:top w:val="nil"/>
              <w:left w:val="nil"/>
              <w:bottom w:val="single" w:sz="4" w:space="0" w:color="auto"/>
              <w:right w:val="single" w:sz="4" w:space="0" w:color="auto"/>
            </w:tcBorders>
            <w:noWrap/>
            <w:vAlign w:val="center"/>
            <w:hideMark/>
          </w:tcPr>
          <w:p w14:paraId="3FF79F88"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486.56</w:t>
            </w:r>
          </w:p>
        </w:tc>
        <w:tc>
          <w:tcPr>
            <w:tcW w:w="920" w:type="dxa"/>
            <w:tcBorders>
              <w:top w:val="nil"/>
              <w:left w:val="nil"/>
              <w:bottom w:val="single" w:sz="4" w:space="0" w:color="auto"/>
              <w:right w:val="single" w:sz="4" w:space="0" w:color="auto"/>
            </w:tcBorders>
            <w:noWrap/>
            <w:vAlign w:val="center"/>
            <w:hideMark/>
          </w:tcPr>
          <w:p w14:paraId="19B00764"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$ 418,582.00 </w:t>
            </w:r>
          </w:p>
        </w:tc>
        <w:tc>
          <w:tcPr>
            <w:tcW w:w="1280" w:type="dxa"/>
            <w:tcBorders>
              <w:top w:val="nil"/>
              <w:left w:val="nil"/>
              <w:bottom w:val="single" w:sz="4" w:space="0" w:color="auto"/>
              <w:right w:val="single" w:sz="4" w:space="0" w:color="auto"/>
            </w:tcBorders>
            <w:noWrap/>
            <w:vAlign w:val="center"/>
            <w:hideMark/>
          </w:tcPr>
          <w:p w14:paraId="111838C9"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203,663,478.95 </w:t>
            </w:r>
          </w:p>
        </w:tc>
      </w:tr>
      <w:tr w:rsidR="00365596" w:rsidRPr="00365596" w14:paraId="12AE851B" w14:textId="77777777" w:rsidTr="00365596">
        <w:trPr>
          <w:trHeight w:val="336"/>
        </w:trPr>
        <w:tc>
          <w:tcPr>
            <w:tcW w:w="659" w:type="dxa"/>
            <w:tcBorders>
              <w:top w:val="nil"/>
              <w:left w:val="single" w:sz="4" w:space="0" w:color="auto"/>
              <w:bottom w:val="single" w:sz="4" w:space="0" w:color="auto"/>
              <w:right w:val="single" w:sz="4" w:space="0" w:color="auto"/>
            </w:tcBorders>
            <w:noWrap/>
            <w:vAlign w:val="center"/>
            <w:hideMark/>
          </w:tcPr>
          <w:p w14:paraId="6989A391"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14000738</w:t>
            </w:r>
          </w:p>
        </w:tc>
        <w:tc>
          <w:tcPr>
            <w:tcW w:w="519" w:type="dxa"/>
            <w:tcBorders>
              <w:top w:val="nil"/>
              <w:left w:val="nil"/>
              <w:bottom w:val="single" w:sz="4" w:space="0" w:color="auto"/>
              <w:right w:val="single" w:sz="4" w:space="0" w:color="auto"/>
            </w:tcBorders>
            <w:noWrap/>
            <w:vAlign w:val="center"/>
            <w:hideMark/>
          </w:tcPr>
          <w:p w14:paraId="6054DC26"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183207</w:t>
            </w:r>
          </w:p>
        </w:tc>
        <w:tc>
          <w:tcPr>
            <w:tcW w:w="1139" w:type="dxa"/>
            <w:tcBorders>
              <w:top w:val="nil"/>
              <w:left w:val="nil"/>
              <w:bottom w:val="single" w:sz="4" w:space="0" w:color="auto"/>
              <w:right w:val="single" w:sz="4" w:space="0" w:color="auto"/>
            </w:tcBorders>
            <w:vAlign w:val="center"/>
            <w:hideMark/>
          </w:tcPr>
          <w:p w14:paraId="328E7BEA"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MANTENIMIENTO PERIODICO</w:t>
            </w:r>
          </w:p>
        </w:tc>
        <w:tc>
          <w:tcPr>
            <w:tcW w:w="603" w:type="dxa"/>
            <w:tcBorders>
              <w:top w:val="nil"/>
              <w:left w:val="nil"/>
              <w:bottom w:val="single" w:sz="4" w:space="0" w:color="auto"/>
              <w:right w:val="single" w:sz="4" w:space="0" w:color="auto"/>
            </w:tcBorders>
            <w:noWrap/>
            <w:vAlign w:val="center"/>
            <w:hideMark/>
          </w:tcPr>
          <w:p w14:paraId="1F349F3E"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21</w:t>
            </w:r>
          </w:p>
        </w:tc>
        <w:tc>
          <w:tcPr>
            <w:tcW w:w="660" w:type="dxa"/>
            <w:tcBorders>
              <w:top w:val="nil"/>
              <w:left w:val="nil"/>
              <w:bottom w:val="single" w:sz="4" w:space="0" w:color="auto"/>
              <w:right w:val="single" w:sz="4" w:space="0" w:color="auto"/>
            </w:tcBorders>
            <w:noWrap/>
            <w:vAlign w:val="center"/>
            <w:hideMark/>
          </w:tcPr>
          <w:p w14:paraId="40CDE231"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8</w:t>
            </w:r>
          </w:p>
        </w:tc>
        <w:tc>
          <w:tcPr>
            <w:tcW w:w="600" w:type="dxa"/>
            <w:tcBorders>
              <w:top w:val="nil"/>
              <w:left w:val="nil"/>
              <w:bottom w:val="single" w:sz="4" w:space="0" w:color="auto"/>
              <w:right w:val="single" w:sz="4" w:space="0" w:color="auto"/>
            </w:tcBorders>
            <w:noWrap/>
            <w:vAlign w:val="center"/>
            <w:hideMark/>
          </w:tcPr>
          <w:p w14:paraId="356B5562"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9</w:t>
            </w:r>
          </w:p>
        </w:tc>
        <w:tc>
          <w:tcPr>
            <w:tcW w:w="700" w:type="dxa"/>
            <w:tcBorders>
              <w:top w:val="nil"/>
              <w:left w:val="nil"/>
              <w:bottom w:val="single" w:sz="4" w:space="0" w:color="auto"/>
              <w:right w:val="single" w:sz="4" w:space="0" w:color="auto"/>
            </w:tcBorders>
            <w:noWrap/>
            <w:vAlign w:val="center"/>
            <w:hideMark/>
          </w:tcPr>
          <w:p w14:paraId="71B7536F"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97.32</w:t>
            </w:r>
          </w:p>
        </w:tc>
        <w:tc>
          <w:tcPr>
            <w:tcW w:w="480" w:type="dxa"/>
            <w:tcBorders>
              <w:top w:val="nil"/>
              <w:left w:val="nil"/>
              <w:bottom w:val="single" w:sz="4" w:space="0" w:color="auto"/>
              <w:right w:val="single" w:sz="4" w:space="0" w:color="auto"/>
            </w:tcBorders>
            <w:noWrap/>
            <w:vAlign w:val="center"/>
            <w:hideMark/>
          </w:tcPr>
          <w:p w14:paraId="2108CA6E"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8.91</w:t>
            </w:r>
          </w:p>
        </w:tc>
        <w:tc>
          <w:tcPr>
            <w:tcW w:w="500" w:type="dxa"/>
            <w:tcBorders>
              <w:top w:val="nil"/>
              <w:left w:val="nil"/>
              <w:bottom w:val="single" w:sz="4" w:space="0" w:color="auto"/>
              <w:right w:val="single" w:sz="4" w:space="0" w:color="auto"/>
            </w:tcBorders>
            <w:noWrap/>
            <w:vAlign w:val="center"/>
            <w:hideMark/>
          </w:tcPr>
          <w:p w14:paraId="694A903C"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867.12</w:t>
            </w:r>
          </w:p>
        </w:tc>
        <w:tc>
          <w:tcPr>
            <w:tcW w:w="700" w:type="dxa"/>
            <w:tcBorders>
              <w:top w:val="nil"/>
              <w:left w:val="nil"/>
              <w:bottom w:val="single" w:sz="4" w:space="0" w:color="auto"/>
              <w:right w:val="single" w:sz="4" w:space="0" w:color="auto"/>
            </w:tcBorders>
            <w:noWrap/>
            <w:vAlign w:val="center"/>
            <w:hideMark/>
          </w:tcPr>
          <w:p w14:paraId="6C8C496D"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433.56</w:t>
            </w:r>
          </w:p>
        </w:tc>
        <w:tc>
          <w:tcPr>
            <w:tcW w:w="920" w:type="dxa"/>
            <w:tcBorders>
              <w:top w:val="nil"/>
              <w:left w:val="nil"/>
              <w:bottom w:val="single" w:sz="4" w:space="0" w:color="auto"/>
              <w:right w:val="single" w:sz="4" w:space="0" w:color="auto"/>
            </w:tcBorders>
            <w:noWrap/>
            <w:vAlign w:val="center"/>
            <w:hideMark/>
          </w:tcPr>
          <w:p w14:paraId="5CE9CF8F"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$ 274,749.00 </w:t>
            </w:r>
          </w:p>
        </w:tc>
        <w:tc>
          <w:tcPr>
            <w:tcW w:w="1280" w:type="dxa"/>
            <w:tcBorders>
              <w:top w:val="nil"/>
              <w:left w:val="nil"/>
              <w:bottom w:val="single" w:sz="4" w:space="0" w:color="auto"/>
              <w:right w:val="single" w:sz="4" w:space="0" w:color="auto"/>
            </w:tcBorders>
            <w:noWrap/>
            <w:vAlign w:val="center"/>
            <w:hideMark/>
          </w:tcPr>
          <w:p w14:paraId="10CC8F9F"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119,120,341.29 </w:t>
            </w:r>
          </w:p>
        </w:tc>
      </w:tr>
      <w:tr w:rsidR="00365596" w:rsidRPr="00365596" w14:paraId="67EE398D" w14:textId="77777777" w:rsidTr="00365596">
        <w:trPr>
          <w:trHeight w:val="336"/>
        </w:trPr>
        <w:tc>
          <w:tcPr>
            <w:tcW w:w="659" w:type="dxa"/>
            <w:tcBorders>
              <w:top w:val="nil"/>
              <w:left w:val="single" w:sz="4" w:space="0" w:color="auto"/>
              <w:bottom w:val="single" w:sz="4" w:space="0" w:color="auto"/>
              <w:right w:val="single" w:sz="4" w:space="0" w:color="auto"/>
            </w:tcBorders>
            <w:noWrap/>
            <w:vAlign w:val="center"/>
            <w:hideMark/>
          </w:tcPr>
          <w:p w14:paraId="4C351514"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14000543</w:t>
            </w:r>
          </w:p>
        </w:tc>
        <w:tc>
          <w:tcPr>
            <w:tcW w:w="519" w:type="dxa"/>
            <w:tcBorders>
              <w:top w:val="nil"/>
              <w:left w:val="nil"/>
              <w:bottom w:val="single" w:sz="4" w:space="0" w:color="auto"/>
              <w:right w:val="single" w:sz="4" w:space="0" w:color="auto"/>
            </w:tcBorders>
            <w:noWrap/>
            <w:vAlign w:val="center"/>
            <w:hideMark/>
          </w:tcPr>
          <w:p w14:paraId="2B7689EB"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183456</w:t>
            </w:r>
          </w:p>
        </w:tc>
        <w:tc>
          <w:tcPr>
            <w:tcW w:w="1139" w:type="dxa"/>
            <w:tcBorders>
              <w:top w:val="nil"/>
              <w:left w:val="nil"/>
              <w:bottom w:val="single" w:sz="4" w:space="0" w:color="auto"/>
              <w:right w:val="single" w:sz="4" w:space="0" w:color="auto"/>
            </w:tcBorders>
            <w:vAlign w:val="center"/>
            <w:hideMark/>
          </w:tcPr>
          <w:p w14:paraId="7D95B430"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MANTENIMIENTO PERIODICO</w:t>
            </w:r>
          </w:p>
        </w:tc>
        <w:tc>
          <w:tcPr>
            <w:tcW w:w="603" w:type="dxa"/>
            <w:tcBorders>
              <w:top w:val="nil"/>
              <w:left w:val="nil"/>
              <w:bottom w:val="single" w:sz="4" w:space="0" w:color="auto"/>
              <w:right w:val="single" w:sz="4" w:space="0" w:color="auto"/>
            </w:tcBorders>
            <w:noWrap/>
            <w:vAlign w:val="center"/>
            <w:hideMark/>
          </w:tcPr>
          <w:p w14:paraId="732EA200"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12B</w:t>
            </w:r>
          </w:p>
        </w:tc>
        <w:tc>
          <w:tcPr>
            <w:tcW w:w="660" w:type="dxa"/>
            <w:tcBorders>
              <w:top w:val="nil"/>
              <w:left w:val="nil"/>
              <w:bottom w:val="single" w:sz="4" w:space="0" w:color="auto"/>
              <w:right w:val="single" w:sz="4" w:space="0" w:color="auto"/>
            </w:tcBorders>
            <w:noWrap/>
            <w:vAlign w:val="center"/>
            <w:hideMark/>
          </w:tcPr>
          <w:p w14:paraId="5F09D0E9"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19A</w:t>
            </w:r>
          </w:p>
        </w:tc>
        <w:tc>
          <w:tcPr>
            <w:tcW w:w="600" w:type="dxa"/>
            <w:tcBorders>
              <w:top w:val="nil"/>
              <w:left w:val="nil"/>
              <w:bottom w:val="single" w:sz="4" w:space="0" w:color="auto"/>
              <w:right w:val="single" w:sz="4" w:space="0" w:color="auto"/>
            </w:tcBorders>
            <w:noWrap/>
            <w:vAlign w:val="center"/>
            <w:hideMark/>
          </w:tcPr>
          <w:p w14:paraId="16A05EAD"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19B</w:t>
            </w:r>
          </w:p>
        </w:tc>
        <w:tc>
          <w:tcPr>
            <w:tcW w:w="700" w:type="dxa"/>
            <w:tcBorders>
              <w:top w:val="nil"/>
              <w:left w:val="nil"/>
              <w:bottom w:val="single" w:sz="4" w:space="0" w:color="auto"/>
              <w:right w:val="single" w:sz="4" w:space="0" w:color="auto"/>
            </w:tcBorders>
            <w:noWrap/>
            <w:vAlign w:val="center"/>
            <w:hideMark/>
          </w:tcPr>
          <w:p w14:paraId="215CD922"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65.94</w:t>
            </w:r>
          </w:p>
        </w:tc>
        <w:tc>
          <w:tcPr>
            <w:tcW w:w="480" w:type="dxa"/>
            <w:tcBorders>
              <w:top w:val="nil"/>
              <w:left w:val="nil"/>
              <w:bottom w:val="single" w:sz="4" w:space="0" w:color="auto"/>
              <w:right w:val="single" w:sz="4" w:space="0" w:color="auto"/>
            </w:tcBorders>
            <w:noWrap/>
            <w:vAlign w:val="center"/>
            <w:hideMark/>
          </w:tcPr>
          <w:p w14:paraId="0202AF5E"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4.89</w:t>
            </w:r>
          </w:p>
        </w:tc>
        <w:tc>
          <w:tcPr>
            <w:tcW w:w="500" w:type="dxa"/>
            <w:tcBorders>
              <w:top w:val="nil"/>
              <w:left w:val="nil"/>
              <w:bottom w:val="single" w:sz="4" w:space="0" w:color="auto"/>
              <w:right w:val="single" w:sz="4" w:space="0" w:color="auto"/>
            </w:tcBorders>
            <w:noWrap/>
            <w:vAlign w:val="center"/>
            <w:hideMark/>
          </w:tcPr>
          <w:p w14:paraId="3C0E5D99"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322.45</w:t>
            </w:r>
          </w:p>
        </w:tc>
        <w:tc>
          <w:tcPr>
            <w:tcW w:w="700" w:type="dxa"/>
            <w:tcBorders>
              <w:top w:val="nil"/>
              <w:left w:val="nil"/>
              <w:bottom w:val="single" w:sz="4" w:space="0" w:color="auto"/>
              <w:right w:val="single" w:sz="4" w:space="0" w:color="auto"/>
            </w:tcBorders>
            <w:noWrap/>
            <w:vAlign w:val="center"/>
            <w:hideMark/>
          </w:tcPr>
          <w:p w14:paraId="0E29961F"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161.22</w:t>
            </w:r>
          </w:p>
        </w:tc>
        <w:tc>
          <w:tcPr>
            <w:tcW w:w="920" w:type="dxa"/>
            <w:tcBorders>
              <w:top w:val="nil"/>
              <w:left w:val="nil"/>
              <w:bottom w:val="single" w:sz="4" w:space="0" w:color="auto"/>
              <w:right w:val="single" w:sz="4" w:space="0" w:color="auto"/>
            </w:tcBorders>
            <w:noWrap/>
            <w:vAlign w:val="center"/>
            <w:hideMark/>
          </w:tcPr>
          <w:p w14:paraId="6C70DE14"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$ 274,749.00 </w:t>
            </w:r>
          </w:p>
        </w:tc>
        <w:tc>
          <w:tcPr>
            <w:tcW w:w="1280" w:type="dxa"/>
            <w:tcBorders>
              <w:top w:val="nil"/>
              <w:left w:val="nil"/>
              <w:bottom w:val="single" w:sz="4" w:space="0" w:color="auto"/>
              <w:right w:val="single" w:sz="4" w:space="0" w:color="auto"/>
            </w:tcBorders>
            <w:noWrap/>
            <w:vAlign w:val="center"/>
            <w:hideMark/>
          </w:tcPr>
          <w:p w14:paraId="410495A9"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44,295,940.45 </w:t>
            </w:r>
          </w:p>
        </w:tc>
      </w:tr>
      <w:tr w:rsidR="00365596" w:rsidRPr="00365596" w14:paraId="53B65F1B" w14:textId="77777777" w:rsidTr="00365596">
        <w:trPr>
          <w:trHeight w:val="336"/>
        </w:trPr>
        <w:tc>
          <w:tcPr>
            <w:tcW w:w="659" w:type="dxa"/>
            <w:tcBorders>
              <w:top w:val="nil"/>
              <w:left w:val="single" w:sz="4" w:space="0" w:color="auto"/>
              <w:bottom w:val="single" w:sz="4" w:space="0" w:color="auto"/>
              <w:right w:val="single" w:sz="4" w:space="0" w:color="auto"/>
            </w:tcBorders>
            <w:noWrap/>
            <w:vAlign w:val="center"/>
            <w:hideMark/>
          </w:tcPr>
          <w:p w14:paraId="3922C92A"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14000468</w:t>
            </w:r>
          </w:p>
        </w:tc>
        <w:tc>
          <w:tcPr>
            <w:tcW w:w="519" w:type="dxa"/>
            <w:tcBorders>
              <w:top w:val="nil"/>
              <w:left w:val="nil"/>
              <w:bottom w:val="single" w:sz="4" w:space="0" w:color="auto"/>
              <w:right w:val="single" w:sz="4" w:space="0" w:color="auto"/>
            </w:tcBorders>
            <w:noWrap/>
            <w:vAlign w:val="center"/>
            <w:hideMark/>
          </w:tcPr>
          <w:p w14:paraId="068C1C2A"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183459</w:t>
            </w:r>
          </w:p>
        </w:tc>
        <w:tc>
          <w:tcPr>
            <w:tcW w:w="1139" w:type="dxa"/>
            <w:tcBorders>
              <w:top w:val="nil"/>
              <w:left w:val="nil"/>
              <w:bottom w:val="single" w:sz="4" w:space="0" w:color="auto"/>
              <w:right w:val="single" w:sz="4" w:space="0" w:color="auto"/>
            </w:tcBorders>
            <w:vAlign w:val="center"/>
            <w:hideMark/>
          </w:tcPr>
          <w:p w14:paraId="48212ACF"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MANTENIMIENTO PERIODICO</w:t>
            </w:r>
          </w:p>
        </w:tc>
        <w:tc>
          <w:tcPr>
            <w:tcW w:w="603" w:type="dxa"/>
            <w:tcBorders>
              <w:top w:val="nil"/>
              <w:left w:val="nil"/>
              <w:bottom w:val="single" w:sz="4" w:space="0" w:color="auto"/>
              <w:right w:val="single" w:sz="4" w:space="0" w:color="auto"/>
            </w:tcBorders>
            <w:noWrap/>
            <w:vAlign w:val="center"/>
            <w:hideMark/>
          </w:tcPr>
          <w:p w14:paraId="3B741FD7"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12B</w:t>
            </w:r>
          </w:p>
        </w:tc>
        <w:tc>
          <w:tcPr>
            <w:tcW w:w="660" w:type="dxa"/>
            <w:tcBorders>
              <w:top w:val="nil"/>
              <w:left w:val="nil"/>
              <w:bottom w:val="single" w:sz="4" w:space="0" w:color="auto"/>
              <w:right w:val="single" w:sz="4" w:space="0" w:color="auto"/>
            </w:tcBorders>
            <w:noWrap/>
            <w:vAlign w:val="center"/>
            <w:hideMark/>
          </w:tcPr>
          <w:p w14:paraId="70F6505F"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22</w:t>
            </w:r>
          </w:p>
        </w:tc>
        <w:tc>
          <w:tcPr>
            <w:tcW w:w="600" w:type="dxa"/>
            <w:tcBorders>
              <w:top w:val="nil"/>
              <w:left w:val="nil"/>
              <w:bottom w:val="single" w:sz="4" w:space="0" w:color="auto"/>
              <w:right w:val="single" w:sz="4" w:space="0" w:color="auto"/>
            </w:tcBorders>
            <w:noWrap/>
            <w:vAlign w:val="center"/>
            <w:hideMark/>
          </w:tcPr>
          <w:p w14:paraId="3476417A"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23</w:t>
            </w:r>
          </w:p>
        </w:tc>
        <w:tc>
          <w:tcPr>
            <w:tcW w:w="700" w:type="dxa"/>
            <w:tcBorders>
              <w:top w:val="nil"/>
              <w:left w:val="nil"/>
              <w:bottom w:val="single" w:sz="4" w:space="0" w:color="auto"/>
              <w:right w:val="single" w:sz="4" w:space="0" w:color="auto"/>
            </w:tcBorders>
            <w:noWrap/>
            <w:vAlign w:val="center"/>
            <w:hideMark/>
          </w:tcPr>
          <w:p w14:paraId="37BAADA0"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61.46</w:t>
            </w:r>
          </w:p>
        </w:tc>
        <w:tc>
          <w:tcPr>
            <w:tcW w:w="480" w:type="dxa"/>
            <w:tcBorders>
              <w:top w:val="nil"/>
              <w:left w:val="nil"/>
              <w:bottom w:val="single" w:sz="4" w:space="0" w:color="auto"/>
              <w:right w:val="single" w:sz="4" w:space="0" w:color="auto"/>
            </w:tcBorders>
            <w:noWrap/>
            <w:vAlign w:val="center"/>
            <w:hideMark/>
          </w:tcPr>
          <w:p w14:paraId="0FA3B7D5"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5.63</w:t>
            </w:r>
          </w:p>
        </w:tc>
        <w:tc>
          <w:tcPr>
            <w:tcW w:w="500" w:type="dxa"/>
            <w:tcBorders>
              <w:top w:val="nil"/>
              <w:left w:val="nil"/>
              <w:bottom w:val="single" w:sz="4" w:space="0" w:color="auto"/>
              <w:right w:val="single" w:sz="4" w:space="0" w:color="auto"/>
            </w:tcBorders>
            <w:noWrap/>
            <w:vAlign w:val="center"/>
            <w:hideMark/>
          </w:tcPr>
          <w:p w14:paraId="16D01EA7"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346.02</w:t>
            </w:r>
          </w:p>
        </w:tc>
        <w:tc>
          <w:tcPr>
            <w:tcW w:w="700" w:type="dxa"/>
            <w:tcBorders>
              <w:top w:val="nil"/>
              <w:left w:val="nil"/>
              <w:bottom w:val="single" w:sz="4" w:space="0" w:color="auto"/>
              <w:right w:val="single" w:sz="4" w:space="0" w:color="auto"/>
            </w:tcBorders>
            <w:noWrap/>
            <w:vAlign w:val="center"/>
            <w:hideMark/>
          </w:tcPr>
          <w:p w14:paraId="4934AFF4"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173.01</w:t>
            </w:r>
          </w:p>
        </w:tc>
        <w:tc>
          <w:tcPr>
            <w:tcW w:w="920" w:type="dxa"/>
            <w:tcBorders>
              <w:top w:val="nil"/>
              <w:left w:val="nil"/>
              <w:bottom w:val="single" w:sz="4" w:space="0" w:color="auto"/>
              <w:right w:val="single" w:sz="4" w:space="0" w:color="auto"/>
            </w:tcBorders>
            <w:noWrap/>
            <w:vAlign w:val="center"/>
            <w:hideMark/>
          </w:tcPr>
          <w:p w14:paraId="054F01D4"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$ 274,749.00 </w:t>
            </w:r>
          </w:p>
        </w:tc>
        <w:tc>
          <w:tcPr>
            <w:tcW w:w="1280" w:type="dxa"/>
            <w:tcBorders>
              <w:top w:val="nil"/>
              <w:left w:val="nil"/>
              <w:bottom w:val="single" w:sz="4" w:space="0" w:color="auto"/>
              <w:right w:val="single" w:sz="4" w:space="0" w:color="auto"/>
            </w:tcBorders>
            <w:noWrap/>
            <w:vAlign w:val="center"/>
            <w:hideMark/>
          </w:tcPr>
          <w:p w14:paraId="4305E1DB"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47,534,297.02 </w:t>
            </w:r>
          </w:p>
        </w:tc>
      </w:tr>
      <w:tr w:rsidR="00365596" w:rsidRPr="00365596" w14:paraId="3E72EA96" w14:textId="77777777" w:rsidTr="00365596">
        <w:trPr>
          <w:trHeight w:val="336"/>
        </w:trPr>
        <w:tc>
          <w:tcPr>
            <w:tcW w:w="659" w:type="dxa"/>
            <w:tcBorders>
              <w:top w:val="nil"/>
              <w:left w:val="single" w:sz="4" w:space="0" w:color="auto"/>
              <w:bottom w:val="single" w:sz="4" w:space="0" w:color="auto"/>
              <w:right w:val="single" w:sz="4" w:space="0" w:color="auto"/>
            </w:tcBorders>
            <w:noWrap/>
            <w:vAlign w:val="center"/>
            <w:hideMark/>
          </w:tcPr>
          <w:p w14:paraId="166B72C4"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14000454</w:t>
            </w:r>
          </w:p>
        </w:tc>
        <w:tc>
          <w:tcPr>
            <w:tcW w:w="519" w:type="dxa"/>
            <w:tcBorders>
              <w:top w:val="nil"/>
              <w:left w:val="nil"/>
              <w:bottom w:val="single" w:sz="4" w:space="0" w:color="auto"/>
              <w:right w:val="single" w:sz="4" w:space="0" w:color="auto"/>
            </w:tcBorders>
            <w:noWrap/>
            <w:vAlign w:val="center"/>
            <w:hideMark/>
          </w:tcPr>
          <w:p w14:paraId="331E8885"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183460</w:t>
            </w:r>
          </w:p>
        </w:tc>
        <w:tc>
          <w:tcPr>
            <w:tcW w:w="1139" w:type="dxa"/>
            <w:tcBorders>
              <w:top w:val="nil"/>
              <w:left w:val="nil"/>
              <w:bottom w:val="single" w:sz="4" w:space="0" w:color="auto"/>
              <w:right w:val="single" w:sz="4" w:space="0" w:color="auto"/>
            </w:tcBorders>
            <w:vAlign w:val="center"/>
            <w:hideMark/>
          </w:tcPr>
          <w:p w14:paraId="35681C73"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MANTENIMIENTO PERIODICO</w:t>
            </w:r>
          </w:p>
        </w:tc>
        <w:tc>
          <w:tcPr>
            <w:tcW w:w="603" w:type="dxa"/>
            <w:tcBorders>
              <w:top w:val="nil"/>
              <w:left w:val="nil"/>
              <w:bottom w:val="single" w:sz="4" w:space="0" w:color="auto"/>
              <w:right w:val="single" w:sz="4" w:space="0" w:color="auto"/>
            </w:tcBorders>
            <w:noWrap/>
            <w:vAlign w:val="center"/>
            <w:hideMark/>
          </w:tcPr>
          <w:p w14:paraId="76184236"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12B</w:t>
            </w:r>
          </w:p>
        </w:tc>
        <w:tc>
          <w:tcPr>
            <w:tcW w:w="660" w:type="dxa"/>
            <w:tcBorders>
              <w:top w:val="nil"/>
              <w:left w:val="nil"/>
              <w:bottom w:val="single" w:sz="4" w:space="0" w:color="auto"/>
              <w:right w:val="single" w:sz="4" w:space="0" w:color="auto"/>
            </w:tcBorders>
            <w:noWrap/>
            <w:vAlign w:val="center"/>
            <w:hideMark/>
          </w:tcPr>
          <w:p w14:paraId="1BB11B0A"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23</w:t>
            </w:r>
          </w:p>
        </w:tc>
        <w:tc>
          <w:tcPr>
            <w:tcW w:w="600" w:type="dxa"/>
            <w:tcBorders>
              <w:top w:val="nil"/>
              <w:left w:val="nil"/>
              <w:bottom w:val="single" w:sz="4" w:space="0" w:color="auto"/>
              <w:right w:val="single" w:sz="4" w:space="0" w:color="auto"/>
            </w:tcBorders>
            <w:noWrap/>
            <w:vAlign w:val="center"/>
            <w:hideMark/>
          </w:tcPr>
          <w:p w14:paraId="74670733"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24</w:t>
            </w:r>
          </w:p>
        </w:tc>
        <w:tc>
          <w:tcPr>
            <w:tcW w:w="700" w:type="dxa"/>
            <w:tcBorders>
              <w:top w:val="nil"/>
              <w:left w:val="nil"/>
              <w:bottom w:val="single" w:sz="4" w:space="0" w:color="auto"/>
              <w:right w:val="single" w:sz="4" w:space="0" w:color="auto"/>
            </w:tcBorders>
            <w:noWrap/>
            <w:vAlign w:val="center"/>
            <w:hideMark/>
          </w:tcPr>
          <w:p w14:paraId="2F8C350D"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64.78</w:t>
            </w:r>
          </w:p>
        </w:tc>
        <w:tc>
          <w:tcPr>
            <w:tcW w:w="480" w:type="dxa"/>
            <w:tcBorders>
              <w:top w:val="nil"/>
              <w:left w:val="nil"/>
              <w:bottom w:val="single" w:sz="4" w:space="0" w:color="auto"/>
              <w:right w:val="single" w:sz="4" w:space="0" w:color="auto"/>
            </w:tcBorders>
            <w:noWrap/>
            <w:vAlign w:val="center"/>
            <w:hideMark/>
          </w:tcPr>
          <w:p w14:paraId="30DC0193"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6.12</w:t>
            </w:r>
          </w:p>
        </w:tc>
        <w:tc>
          <w:tcPr>
            <w:tcW w:w="500" w:type="dxa"/>
            <w:tcBorders>
              <w:top w:val="nil"/>
              <w:left w:val="nil"/>
              <w:bottom w:val="single" w:sz="4" w:space="0" w:color="auto"/>
              <w:right w:val="single" w:sz="4" w:space="0" w:color="auto"/>
            </w:tcBorders>
            <w:noWrap/>
            <w:vAlign w:val="center"/>
            <w:hideMark/>
          </w:tcPr>
          <w:p w14:paraId="033533AE"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396.45</w:t>
            </w:r>
          </w:p>
        </w:tc>
        <w:tc>
          <w:tcPr>
            <w:tcW w:w="700" w:type="dxa"/>
            <w:tcBorders>
              <w:top w:val="nil"/>
              <w:left w:val="nil"/>
              <w:bottom w:val="single" w:sz="4" w:space="0" w:color="auto"/>
              <w:right w:val="single" w:sz="4" w:space="0" w:color="auto"/>
            </w:tcBorders>
            <w:noWrap/>
            <w:vAlign w:val="center"/>
            <w:hideMark/>
          </w:tcPr>
          <w:p w14:paraId="2B0C546F"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198.23</w:t>
            </w:r>
          </w:p>
        </w:tc>
        <w:tc>
          <w:tcPr>
            <w:tcW w:w="920" w:type="dxa"/>
            <w:tcBorders>
              <w:top w:val="nil"/>
              <w:left w:val="nil"/>
              <w:bottom w:val="single" w:sz="4" w:space="0" w:color="auto"/>
              <w:right w:val="single" w:sz="4" w:space="0" w:color="auto"/>
            </w:tcBorders>
            <w:noWrap/>
            <w:vAlign w:val="center"/>
            <w:hideMark/>
          </w:tcPr>
          <w:p w14:paraId="130FDEFA"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$ 274,749.00 </w:t>
            </w:r>
          </w:p>
        </w:tc>
        <w:tc>
          <w:tcPr>
            <w:tcW w:w="1280" w:type="dxa"/>
            <w:tcBorders>
              <w:top w:val="nil"/>
              <w:left w:val="nil"/>
              <w:bottom w:val="single" w:sz="4" w:space="0" w:color="auto"/>
              <w:right w:val="single" w:sz="4" w:space="0" w:color="auto"/>
            </w:tcBorders>
            <w:noWrap/>
            <w:vAlign w:val="center"/>
            <w:hideMark/>
          </w:tcPr>
          <w:p w14:paraId="62E9CD39"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54,462,615.07 </w:t>
            </w:r>
          </w:p>
        </w:tc>
      </w:tr>
      <w:tr w:rsidR="00365596" w:rsidRPr="00365596" w14:paraId="1366E28E" w14:textId="77777777" w:rsidTr="00365596">
        <w:trPr>
          <w:trHeight w:val="336"/>
        </w:trPr>
        <w:tc>
          <w:tcPr>
            <w:tcW w:w="659" w:type="dxa"/>
            <w:tcBorders>
              <w:top w:val="nil"/>
              <w:left w:val="single" w:sz="4" w:space="0" w:color="auto"/>
              <w:bottom w:val="single" w:sz="4" w:space="0" w:color="auto"/>
              <w:right w:val="single" w:sz="4" w:space="0" w:color="auto"/>
            </w:tcBorders>
            <w:noWrap/>
            <w:vAlign w:val="center"/>
            <w:hideMark/>
          </w:tcPr>
          <w:p w14:paraId="599E3F07"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14000508</w:t>
            </w:r>
          </w:p>
        </w:tc>
        <w:tc>
          <w:tcPr>
            <w:tcW w:w="519" w:type="dxa"/>
            <w:tcBorders>
              <w:top w:val="nil"/>
              <w:left w:val="nil"/>
              <w:bottom w:val="single" w:sz="4" w:space="0" w:color="auto"/>
              <w:right w:val="single" w:sz="4" w:space="0" w:color="auto"/>
            </w:tcBorders>
            <w:noWrap/>
            <w:vAlign w:val="center"/>
            <w:hideMark/>
          </w:tcPr>
          <w:p w14:paraId="26E4D4C6"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183232</w:t>
            </w:r>
          </w:p>
        </w:tc>
        <w:tc>
          <w:tcPr>
            <w:tcW w:w="1139" w:type="dxa"/>
            <w:tcBorders>
              <w:top w:val="nil"/>
              <w:left w:val="nil"/>
              <w:bottom w:val="single" w:sz="4" w:space="0" w:color="auto"/>
              <w:right w:val="single" w:sz="4" w:space="0" w:color="auto"/>
            </w:tcBorders>
            <w:vAlign w:val="center"/>
            <w:hideMark/>
          </w:tcPr>
          <w:p w14:paraId="33C3729E"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MANTENIMIENTO PERIODICO</w:t>
            </w:r>
          </w:p>
        </w:tc>
        <w:tc>
          <w:tcPr>
            <w:tcW w:w="603" w:type="dxa"/>
            <w:tcBorders>
              <w:top w:val="nil"/>
              <w:left w:val="nil"/>
              <w:bottom w:val="single" w:sz="4" w:space="0" w:color="auto"/>
              <w:right w:val="single" w:sz="4" w:space="0" w:color="auto"/>
            </w:tcBorders>
            <w:noWrap/>
            <w:vAlign w:val="center"/>
            <w:hideMark/>
          </w:tcPr>
          <w:p w14:paraId="6C10E433"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23</w:t>
            </w:r>
          </w:p>
        </w:tc>
        <w:tc>
          <w:tcPr>
            <w:tcW w:w="660" w:type="dxa"/>
            <w:tcBorders>
              <w:top w:val="nil"/>
              <w:left w:val="nil"/>
              <w:bottom w:val="single" w:sz="4" w:space="0" w:color="auto"/>
              <w:right w:val="single" w:sz="4" w:space="0" w:color="auto"/>
            </w:tcBorders>
            <w:noWrap/>
            <w:vAlign w:val="center"/>
            <w:hideMark/>
          </w:tcPr>
          <w:p w14:paraId="5F0F5955"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12</w:t>
            </w:r>
          </w:p>
        </w:tc>
        <w:tc>
          <w:tcPr>
            <w:tcW w:w="600" w:type="dxa"/>
            <w:tcBorders>
              <w:top w:val="nil"/>
              <w:left w:val="nil"/>
              <w:bottom w:val="single" w:sz="4" w:space="0" w:color="auto"/>
              <w:right w:val="single" w:sz="4" w:space="0" w:color="auto"/>
            </w:tcBorders>
            <w:noWrap/>
            <w:vAlign w:val="center"/>
            <w:hideMark/>
          </w:tcPr>
          <w:p w14:paraId="6AE305CA"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12B</w:t>
            </w:r>
          </w:p>
        </w:tc>
        <w:tc>
          <w:tcPr>
            <w:tcW w:w="700" w:type="dxa"/>
            <w:tcBorders>
              <w:top w:val="nil"/>
              <w:left w:val="nil"/>
              <w:bottom w:val="single" w:sz="4" w:space="0" w:color="auto"/>
              <w:right w:val="single" w:sz="4" w:space="0" w:color="auto"/>
            </w:tcBorders>
            <w:noWrap/>
            <w:vAlign w:val="center"/>
            <w:hideMark/>
          </w:tcPr>
          <w:p w14:paraId="22621683"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154.41</w:t>
            </w:r>
          </w:p>
        </w:tc>
        <w:tc>
          <w:tcPr>
            <w:tcW w:w="480" w:type="dxa"/>
            <w:tcBorders>
              <w:top w:val="nil"/>
              <w:left w:val="nil"/>
              <w:bottom w:val="single" w:sz="4" w:space="0" w:color="auto"/>
              <w:right w:val="single" w:sz="4" w:space="0" w:color="auto"/>
            </w:tcBorders>
            <w:noWrap/>
            <w:vAlign w:val="center"/>
            <w:hideMark/>
          </w:tcPr>
          <w:p w14:paraId="28066A72"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5.91</w:t>
            </w:r>
          </w:p>
        </w:tc>
        <w:tc>
          <w:tcPr>
            <w:tcW w:w="500" w:type="dxa"/>
            <w:tcBorders>
              <w:top w:val="nil"/>
              <w:left w:val="nil"/>
              <w:bottom w:val="single" w:sz="4" w:space="0" w:color="auto"/>
              <w:right w:val="single" w:sz="4" w:space="0" w:color="auto"/>
            </w:tcBorders>
            <w:noWrap/>
            <w:vAlign w:val="center"/>
            <w:hideMark/>
          </w:tcPr>
          <w:p w14:paraId="192E5C80"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912.56</w:t>
            </w:r>
          </w:p>
        </w:tc>
        <w:tc>
          <w:tcPr>
            <w:tcW w:w="700" w:type="dxa"/>
            <w:tcBorders>
              <w:top w:val="nil"/>
              <w:left w:val="nil"/>
              <w:bottom w:val="single" w:sz="4" w:space="0" w:color="auto"/>
              <w:right w:val="single" w:sz="4" w:space="0" w:color="auto"/>
            </w:tcBorders>
            <w:noWrap/>
            <w:vAlign w:val="center"/>
            <w:hideMark/>
          </w:tcPr>
          <w:p w14:paraId="229F601C"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456.28</w:t>
            </w:r>
          </w:p>
        </w:tc>
        <w:tc>
          <w:tcPr>
            <w:tcW w:w="920" w:type="dxa"/>
            <w:tcBorders>
              <w:top w:val="nil"/>
              <w:left w:val="nil"/>
              <w:bottom w:val="single" w:sz="4" w:space="0" w:color="auto"/>
              <w:right w:val="single" w:sz="4" w:space="0" w:color="auto"/>
            </w:tcBorders>
            <w:noWrap/>
            <w:vAlign w:val="center"/>
            <w:hideMark/>
          </w:tcPr>
          <w:p w14:paraId="5736E232"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$ 274,749.00 </w:t>
            </w:r>
          </w:p>
        </w:tc>
        <w:tc>
          <w:tcPr>
            <w:tcW w:w="1280" w:type="dxa"/>
            <w:tcBorders>
              <w:top w:val="nil"/>
              <w:left w:val="nil"/>
              <w:bottom w:val="single" w:sz="4" w:space="0" w:color="auto"/>
              <w:right w:val="single" w:sz="4" w:space="0" w:color="auto"/>
            </w:tcBorders>
            <w:noWrap/>
            <w:vAlign w:val="center"/>
            <w:hideMark/>
          </w:tcPr>
          <w:p w14:paraId="6F9071B3"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125,362,899.58 </w:t>
            </w:r>
          </w:p>
        </w:tc>
      </w:tr>
      <w:tr w:rsidR="00365596" w:rsidRPr="00365596" w14:paraId="31623F83" w14:textId="77777777" w:rsidTr="00365596">
        <w:trPr>
          <w:trHeight w:val="336"/>
        </w:trPr>
        <w:tc>
          <w:tcPr>
            <w:tcW w:w="659" w:type="dxa"/>
            <w:tcBorders>
              <w:top w:val="nil"/>
              <w:left w:val="single" w:sz="4" w:space="0" w:color="auto"/>
              <w:bottom w:val="single" w:sz="4" w:space="0" w:color="auto"/>
              <w:right w:val="single" w:sz="4" w:space="0" w:color="auto"/>
            </w:tcBorders>
            <w:noWrap/>
            <w:vAlign w:val="center"/>
            <w:hideMark/>
          </w:tcPr>
          <w:p w14:paraId="6D0E253E"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14001700</w:t>
            </w:r>
          </w:p>
        </w:tc>
        <w:tc>
          <w:tcPr>
            <w:tcW w:w="519" w:type="dxa"/>
            <w:tcBorders>
              <w:top w:val="nil"/>
              <w:left w:val="nil"/>
              <w:bottom w:val="single" w:sz="4" w:space="0" w:color="auto"/>
              <w:right w:val="single" w:sz="4" w:space="0" w:color="auto"/>
            </w:tcBorders>
            <w:noWrap/>
            <w:vAlign w:val="center"/>
            <w:hideMark/>
          </w:tcPr>
          <w:p w14:paraId="52B7BC8D"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524578</w:t>
            </w:r>
          </w:p>
        </w:tc>
        <w:tc>
          <w:tcPr>
            <w:tcW w:w="1139" w:type="dxa"/>
            <w:tcBorders>
              <w:top w:val="nil"/>
              <w:left w:val="nil"/>
              <w:bottom w:val="single" w:sz="4" w:space="0" w:color="auto"/>
              <w:right w:val="single" w:sz="4" w:space="0" w:color="auto"/>
            </w:tcBorders>
            <w:vAlign w:val="center"/>
            <w:hideMark/>
          </w:tcPr>
          <w:p w14:paraId="6DC93EF8"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MANTENIMIENTO PERIODICO</w:t>
            </w:r>
          </w:p>
        </w:tc>
        <w:tc>
          <w:tcPr>
            <w:tcW w:w="603" w:type="dxa"/>
            <w:tcBorders>
              <w:top w:val="nil"/>
              <w:left w:val="nil"/>
              <w:bottom w:val="single" w:sz="4" w:space="0" w:color="auto"/>
              <w:right w:val="single" w:sz="4" w:space="0" w:color="auto"/>
            </w:tcBorders>
            <w:noWrap/>
            <w:vAlign w:val="center"/>
            <w:hideMark/>
          </w:tcPr>
          <w:p w14:paraId="5C819073"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12</w:t>
            </w:r>
          </w:p>
        </w:tc>
        <w:tc>
          <w:tcPr>
            <w:tcW w:w="660" w:type="dxa"/>
            <w:tcBorders>
              <w:top w:val="nil"/>
              <w:left w:val="nil"/>
              <w:bottom w:val="single" w:sz="4" w:space="0" w:color="auto"/>
              <w:right w:val="single" w:sz="4" w:space="0" w:color="auto"/>
            </w:tcBorders>
            <w:noWrap/>
            <w:vAlign w:val="center"/>
            <w:hideMark/>
          </w:tcPr>
          <w:p w14:paraId="718F7C64"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19B</w:t>
            </w:r>
          </w:p>
        </w:tc>
        <w:tc>
          <w:tcPr>
            <w:tcW w:w="600" w:type="dxa"/>
            <w:tcBorders>
              <w:top w:val="nil"/>
              <w:left w:val="nil"/>
              <w:bottom w:val="single" w:sz="4" w:space="0" w:color="auto"/>
              <w:right w:val="single" w:sz="4" w:space="0" w:color="auto"/>
            </w:tcBorders>
            <w:noWrap/>
            <w:vAlign w:val="center"/>
            <w:hideMark/>
          </w:tcPr>
          <w:p w14:paraId="28A408C2"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20</w:t>
            </w:r>
          </w:p>
        </w:tc>
        <w:tc>
          <w:tcPr>
            <w:tcW w:w="700" w:type="dxa"/>
            <w:tcBorders>
              <w:top w:val="nil"/>
              <w:left w:val="nil"/>
              <w:bottom w:val="single" w:sz="4" w:space="0" w:color="auto"/>
              <w:right w:val="single" w:sz="4" w:space="0" w:color="auto"/>
            </w:tcBorders>
            <w:noWrap/>
            <w:vAlign w:val="center"/>
            <w:hideMark/>
          </w:tcPr>
          <w:p w14:paraId="37F0BAD7"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22.09</w:t>
            </w:r>
          </w:p>
        </w:tc>
        <w:tc>
          <w:tcPr>
            <w:tcW w:w="480" w:type="dxa"/>
            <w:tcBorders>
              <w:top w:val="nil"/>
              <w:left w:val="nil"/>
              <w:bottom w:val="single" w:sz="4" w:space="0" w:color="auto"/>
              <w:right w:val="single" w:sz="4" w:space="0" w:color="auto"/>
            </w:tcBorders>
            <w:noWrap/>
            <w:vAlign w:val="center"/>
            <w:hideMark/>
          </w:tcPr>
          <w:p w14:paraId="293CA512"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6.08</w:t>
            </w:r>
          </w:p>
        </w:tc>
        <w:tc>
          <w:tcPr>
            <w:tcW w:w="500" w:type="dxa"/>
            <w:tcBorders>
              <w:top w:val="nil"/>
              <w:left w:val="nil"/>
              <w:bottom w:val="single" w:sz="4" w:space="0" w:color="auto"/>
              <w:right w:val="single" w:sz="4" w:space="0" w:color="auto"/>
            </w:tcBorders>
            <w:noWrap/>
            <w:vAlign w:val="center"/>
            <w:hideMark/>
          </w:tcPr>
          <w:p w14:paraId="16956AA6"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134.31</w:t>
            </w:r>
          </w:p>
        </w:tc>
        <w:tc>
          <w:tcPr>
            <w:tcW w:w="700" w:type="dxa"/>
            <w:tcBorders>
              <w:top w:val="nil"/>
              <w:left w:val="nil"/>
              <w:bottom w:val="single" w:sz="4" w:space="0" w:color="auto"/>
              <w:right w:val="single" w:sz="4" w:space="0" w:color="auto"/>
            </w:tcBorders>
            <w:noWrap/>
            <w:vAlign w:val="center"/>
            <w:hideMark/>
          </w:tcPr>
          <w:p w14:paraId="7D29243D"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67.15</w:t>
            </w:r>
          </w:p>
        </w:tc>
        <w:tc>
          <w:tcPr>
            <w:tcW w:w="920" w:type="dxa"/>
            <w:tcBorders>
              <w:top w:val="nil"/>
              <w:left w:val="nil"/>
              <w:bottom w:val="single" w:sz="4" w:space="0" w:color="auto"/>
              <w:right w:val="single" w:sz="4" w:space="0" w:color="auto"/>
            </w:tcBorders>
            <w:noWrap/>
            <w:vAlign w:val="center"/>
            <w:hideMark/>
          </w:tcPr>
          <w:p w14:paraId="2E60325F"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$ 274,749.00 </w:t>
            </w:r>
          </w:p>
        </w:tc>
        <w:tc>
          <w:tcPr>
            <w:tcW w:w="1280" w:type="dxa"/>
            <w:tcBorders>
              <w:top w:val="nil"/>
              <w:left w:val="nil"/>
              <w:bottom w:val="single" w:sz="4" w:space="0" w:color="auto"/>
              <w:right w:val="single" w:sz="4" w:space="0" w:color="auto"/>
            </w:tcBorders>
            <w:noWrap/>
            <w:vAlign w:val="center"/>
            <w:hideMark/>
          </w:tcPr>
          <w:p w14:paraId="3B7923E1"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18,450,384.45 </w:t>
            </w:r>
          </w:p>
        </w:tc>
      </w:tr>
      <w:tr w:rsidR="00365596" w:rsidRPr="00365596" w14:paraId="5A7C37EA" w14:textId="77777777" w:rsidTr="00365596">
        <w:trPr>
          <w:trHeight w:val="336"/>
        </w:trPr>
        <w:tc>
          <w:tcPr>
            <w:tcW w:w="659" w:type="dxa"/>
            <w:tcBorders>
              <w:top w:val="nil"/>
              <w:left w:val="single" w:sz="4" w:space="0" w:color="auto"/>
              <w:bottom w:val="single" w:sz="4" w:space="0" w:color="auto"/>
              <w:right w:val="single" w:sz="4" w:space="0" w:color="auto"/>
            </w:tcBorders>
            <w:noWrap/>
            <w:vAlign w:val="center"/>
            <w:hideMark/>
          </w:tcPr>
          <w:p w14:paraId="212B5717"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1400620</w:t>
            </w:r>
          </w:p>
        </w:tc>
        <w:tc>
          <w:tcPr>
            <w:tcW w:w="519" w:type="dxa"/>
            <w:tcBorders>
              <w:top w:val="nil"/>
              <w:left w:val="nil"/>
              <w:bottom w:val="single" w:sz="4" w:space="0" w:color="auto"/>
              <w:right w:val="single" w:sz="4" w:space="0" w:color="auto"/>
            </w:tcBorders>
            <w:noWrap/>
            <w:vAlign w:val="center"/>
            <w:hideMark/>
          </w:tcPr>
          <w:p w14:paraId="16B8C04F"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183178</w:t>
            </w:r>
          </w:p>
        </w:tc>
        <w:tc>
          <w:tcPr>
            <w:tcW w:w="1139" w:type="dxa"/>
            <w:tcBorders>
              <w:top w:val="nil"/>
              <w:left w:val="nil"/>
              <w:bottom w:val="single" w:sz="4" w:space="0" w:color="auto"/>
              <w:right w:val="single" w:sz="4" w:space="0" w:color="auto"/>
            </w:tcBorders>
            <w:vAlign w:val="center"/>
            <w:hideMark/>
          </w:tcPr>
          <w:p w14:paraId="48B65DF5"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MANTENIMIENTO PERIODICO</w:t>
            </w:r>
          </w:p>
        </w:tc>
        <w:tc>
          <w:tcPr>
            <w:tcW w:w="603" w:type="dxa"/>
            <w:tcBorders>
              <w:top w:val="nil"/>
              <w:left w:val="nil"/>
              <w:bottom w:val="single" w:sz="4" w:space="0" w:color="auto"/>
              <w:right w:val="single" w:sz="4" w:space="0" w:color="auto"/>
            </w:tcBorders>
            <w:noWrap/>
            <w:vAlign w:val="center"/>
            <w:hideMark/>
          </w:tcPr>
          <w:p w14:paraId="173F4FE1"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19ABIS</w:t>
            </w:r>
          </w:p>
        </w:tc>
        <w:tc>
          <w:tcPr>
            <w:tcW w:w="660" w:type="dxa"/>
            <w:tcBorders>
              <w:top w:val="nil"/>
              <w:left w:val="nil"/>
              <w:bottom w:val="single" w:sz="4" w:space="0" w:color="auto"/>
              <w:right w:val="single" w:sz="4" w:space="0" w:color="auto"/>
            </w:tcBorders>
            <w:noWrap/>
            <w:vAlign w:val="center"/>
            <w:hideMark/>
          </w:tcPr>
          <w:p w14:paraId="72E83657"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11</w:t>
            </w:r>
          </w:p>
        </w:tc>
        <w:tc>
          <w:tcPr>
            <w:tcW w:w="600" w:type="dxa"/>
            <w:tcBorders>
              <w:top w:val="nil"/>
              <w:left w:val="nil"/>
              <w:bottom w:val="single" w:sz="4" w:space="0" w:color="auto"/>
              <w:right w:val="single" w:sz="4" w:space="0" w:color="auto"/>
            </w:tcBorders>
            <w:noWrap/>
            <w:vAlign w:val="center"/>
            <w:hideMark/>
          </w:tcPr>
          <w:p w14:paraId="51798C02"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12</w:t>
            </w:r>
          </w:p>
        </w:tc>
        <w:tc>
          <w:tcPr>
            <w:tcW w:w="700" w:type="dxa"/>
            <w:tcBorders>
              <w:top w:val="nil"/>
              <w:left w:val="nil"/>
              <w:bottom w:val="single" w:sz="4" w:space="0" w:color="auto"/>
              <w:right w:val="single" w:sz="4" w:space="0" w:color="auto"/>
            </w:tcBorders>
            <w:noWrap/>
            <w:vAlign w:val="center"/>
            <w:hideMark/>
          </w:tcPr>
          <w:p w14:paraId="3EFD11DA"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96.06</w:t>
            </w:r>
          </w:p>
        </w:tc>
        <w:tc>
          <w:tcPr>
            <w:tcW w:w="480" w:type="dxa"/>
            <w:tcBorders>
              <w:top w:val="nil"/>
              <w:left w:val="nil"/>
              <w:bottom w:val="single" w:sz="4" w:space="0" w:color="auto"/>
              <w:right w:val="single" w:sz="4" w:space="0" w:color="auto"/>
            </w:tcBorders>
            <w:noWrap/>
            <w:vAlign w:val="center"/>
            <w:hideMark/>
          </w:tcPr>
          <w:p w14:paraId="0DA2ABF8"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6.73</w:t>
            </w:r>
          </w:p>
        </w:tc>
        <w:tc>
          <w:tcPr>
            <w:tcW w:w="500" w:type="dxa"/>
            <w:tcBorders>
              <w:top w:val="nil"/>
              <w:left w:val="nil"/>
              <w:bottom w:val="single" w:sz="4" w:space="0" w:color="auto"/>
              <w:right w:val="single" w:sz="4" w:space="0" w:color="auto"/>
            </w:tcBorders>
            <w:noWrap/>
            <w:vAlign w:val="center"/>
            <w:hideMark/>
          </w:tcPr>
          <w:p w14:paraId="34ABFF6B"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646.48</w:t>
            </w:r>
          </w:p>
        </w:tc>
        <w:tc>
          <w:tcPr>
            <w:tcW w:w="700" w:type="dxa"/>
            <w:tcBorders>
              <w:top w:val="nil"/>
              <w:left w:val="nil"/>
              <w:bottom w:val="single" w:sz="4" w:space="0" w:color="auto"/>
              <w:right w:val="single" w:sz="4" w:space="0" w:color="auto"/>
            </w:tcBorders>
            <w:noWrap/>
            <w:vAlign w:val="center"/>
            <w:hideMark/>
          </w:tcPr>
          <w:p w14:paraId="457279CC"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323.24</w:t>
            </w:r>
          </w:p>
        </w:tc>
        <w:tc>
          <w:tcPr>
            <w:tcW w:w="920" w:type="dxa"/>
            <w:tcBorders>
              <w:top w:val="nil"/>
              <w:left w:val="nil"/>
              <w:bottom w:val="single" w:sz="4" w:space="0" w:color="auto"/>
              <w:right w:val="single" w:sz="4" w:space="0" w:color="auto"/>
            </w:tcBorders>
            <w:noWrap/>
            <w:vAlign w:val="center"/>
            <w:hideMark/>
          </w:tcPr>
          <w:p w14:paraId="53B75D5A"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$ 274,749.00 </w:t>
            </w:r>
          </w:p>
        </w:tc>
        <w:tc>
          <w:tcPr>
            <w:tcW w:w="1280" w:type="dxa"/>
            <w:tcBorders>
              <w:top w:val="nil"/>
              <w:left w:val="nil"/>
              <w:bottom w:val="single" w:sz="4" w:space="0" w:color="auto"/>
              <w:right w:val="single" w:sz="4" w:space="0" w:color="auto"/>
            </w:tcBorders>
            <w:noWrap/>
            <w:vAlign w:val="center"/>
            <w:hideMark/>
          </w:tcPr>
          <w:p w14:paraId="3C852228"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88,810,388.78 </w:t>
            </w:r>
          </w:p>
        </w:tc>
      </w:tr>
      <w:tr w:rsidR="00365596" w:rsidRPr="00365596" w14:paraId="7A5CDC11" w14:textId="77777777" w:rsidTr="00365596">
        <w:trPr>
          <w:trHeight w:val="336"/>
        </w:trPr>
        <w:tc>
          <w:tcPr>
            <w:tcW w:w="659" w:type="dxa"/>
            <w:tcBorders>
              <w:top w:val="nil"/>
              <w:left w:val="single" w:sz="4" w:space="0" w:color="auto"/>
              <w:bottom w:val="single" w:sz="4" w:space="0" w:color="auto"/>
              <w:right w:val="single" w:sz="4" w:space="0" w:color="auto"/>
            </w:tcBorders>
            <w:noWrap/>
            <w:vAlign w:val="center"/>
            <w:hideMark/>
          </w:tcPr>
          <w:p w14:paraId="6A79EE9C"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14000595</w:t>
            </w:r>
          </w:p>
        </w:tc>
        <w:tc>
          <w:tcPr>
            <w:tcW w:w="519" w:type="dxa"/>
            <w:tcBorders>
              <w:top w:val="nil"/>
              <w:left w:val="nil"/>
              <w:bottom w:val="single" w:sz="4" w:space="0" w:color="auto"/>
              <w:right w:val="single" w:sz="4" w:space="0" w:color="auto"/>
            </w:tcBorders>
            <w:noWrap/>
            <w:vAlign w:val="center"/>
            <w:hideMark/>
          </w:tcPr>
          <w:p w14:paraId="62C3D85F"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183179</w:t>
            </w:r>
          </w:p>
        </w:tc>
        <w:tc>
          <w:tcPr>
            <w:tcW w:w="1139" w:type="dxa"/>
            <w:tcBorders>
              <w:top w:val="nil"/>
              <w:left w:val="nil"/>
              <w:bottom w:val="single" w:sz="4" w:space="0" w:color="auto"/>
              <w:right w:val="single" w:sz="4" w:space="0" w:color="auto"/>
            </w:tcBorders>
            <w:vAlign w:val="center"/>
            <w:hideMark/>
          </w:tcPr>
          <w:p w14:paraId="0E509E77"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MANTENIMIENTO PERIODICO</w:t>
            </w:r>
          </w:p>
        </w:tc>
        <w:tc>
          <w:tcPr>
            <w:tcW w:w="603" w:type="dxa"/>
            <w:tcBorders>
              <w:top w:val="nil"/>
              <w:left w:val="nil"/>
              <w:bottom w:val="single" w:sz="4" w:space="0" w:color="auto"/>
              <w:right w:val="single" w:sz="4" w:space="0" w:color="auto"/>
            </w:tcBorders>
            <w:noWrap/>
            <w:vAlign w:val="center"/>
            <w:hideMark/>
          </w:tcPr>
          <w:p w14:paraId="45DBE890"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19A</w:t>
            </w:r>
          </w:p>
        </w:tc>
        <w:tc>
          <w:tcPr>
            <w:tcW w:w="660" w:type="dxa"/>
            <w:tcBorders>
              <w:top w:val="nil"/>
              <w:left w:val="nil"/>
              <w:bottom w:val="single" w:sz="4" w:space="0" w:color="auto"/>
              <w:right w:val="single" w:sz="4" w:space="0" w:color="auto"/>
            </w:tcBorders>
            <w:noWrap/>
            <w:vAlign w:val="center"/>
            <w:hideMark/>
          </w:tcPr>
          <w:p w14:paraId="2075B208"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12</w:t>
            </w:r>
          </w:p>
        </w:tc>
        <w:tc>
          <w:tcPr>
            <w:tcW w:w="600" w:type="dxa"/>
            <w:tcBorders>
              <w:top w:val="nil"/>
              <w:left w:val="nil"/>
              <w:bottom w:val="single" w:sz="4" w:space="0" w:color="auto"/>
              <w:right w:val="single" w:sz="4" w:space="0" w:color="auto"/>
            </w:tcBorders>
            <w:noWrap/>
            <w:vAlign w:val="center"/>
            <w:hideMark/>
          </w:tcPr>
          <w:p w14:paraId="5E3BAEF4"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12B</w:t>
            </w:r>
          </w:p>
        </w:tc>
        <w:tc>
          <w:tcPr>
            <w:tcW w:w="700" w:type="dxa"/>
            <w:tcBorders>
              <w:top w:val="nil"/>
              <w:left w:val="nil"/>
              <w:bottom w:val="single" w:sz="4" w:space="0" w:color="auto"/>
              <w:right w:val="single" w:sz="4" w:space="0" w:color="auto"/>
            </w:tcBorders>
            <w:noWrap/>
            <w:vAlign w:val="center"/>
            <w:hideMark/>
          </w:tcPr>
          <w:p w14:paraId="32B39C82"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143.91</w:t>
            </w:r>
          </w:p>
        </w:tc>
        <w:tc>
          <w:tcPr>
            <w:tcW w:w="480" w:type="dxa"/>
            <w:tcBorders>
              <w:top w:val="nil"/>
              <w:left w:val="nil"/>
              <w:bottom w:val="single" w:sz="4" w:space="0" w:color="auto"/>
              <w:right w:val="single" w:sz="4" w:space="0" w:color="auto"/>
            </w:tcBorders>
            <w:noWrap/>
            <w:vAlign w:val="center"/>
            <w:hideMark/>
          </w:tcPr>
          <w:p w14:paraId="2F880736"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5.9</w:t>
            </w:r>
          </w:p>
        </w:tc>
        <w:tc>
          <w:tcPr>
            <w:tcW w:w="500" w:type="dxa"/>
            <w:tcBorders>
              <w:top w:val="nil"/>
              <w:left w:val="nil"/>
              <w:bottom w:val="single" w:sz="4" w:space="0" w:color="auto"/>
              <w:right w:val="single" w:sz="4" w:space="0" w:color="auto"/>
            </w:tcBorders>
            <w:noWrap/>
            <w:vAlign w:val="center"/>
            <w:hideMark/>
          </w:tcPr>
          <w:p w14:paraId="1089703F"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849.07</w:t>
            </w:r>
          </w:p>
        </w:tc>
        <w:tc>
          <w:tcPr>
            <w:tcW w:w="700" w:type="dxa"/>
            <w:tcBorders>
              <w:top w:val="nil"/>
              <w:left w:val="nil"/>
              <w:bottom w:val="single" w:sz="4" w:space="0" w:color="auto"/>
              <w:right w:val="single" w:sz="4" w:space="0" w:color="auto"/>
            </w:tcBorders>
            <w:noWrap/>
            <w:vAlign w:val="center"/>
            <w:hideMark/>
          </w:tcPr>
          <w:p w14:paraId="03A3DB43"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424.53</w:t>
            </w:r>
          </w:p>
        </w:tc>
        <w:tc>
          <w:tcPr>
            <w:tcW w:w="920" w:type="dxa"/>
            <w:tcBorders>
              <w:top w:val="nil"/>
              <w:left w:val="nil"/>
              <w:bottom w:val="single" w:sz="4" w:space="0" w:color="auto"/>
              <w:right w:val="single" w:sz="4" w:space="0" w:color="auto"/>
            </w:tcBorders>
            <w:noWrap/>
            <w:vAlign w:val="center"/>
            <w:hideMark/>
          </w:tcPr>
          <w:p w14:paraId="401F398F"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$ 274,749.00 </w:t>
            </w:r>
          </w:p>
        </w:tc>
        <w:tc>
          <w:tcPr>
            <w:tcW w:w="1280" w:type="dxa"/>
            <w:tcBorders>
              <w:top w:val="nil"/>
              <w:left w:val="nil"/>
              <w:bottom w:val="single" w:sz="4" w:space="0" w:color="auto"/>
              <w:right w:val="single" w:sz="4" w:space="0" w:color="auto"/>
            </w:tcBorders>
            <w:noWrap/>
            <w:vAlign w:val="center"/>
            <w:hideMark/>
          </w:tcPr>
          <w:p w14:paraId="08F000D7"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116,640,429.34 </w:t>
            </w:r>
          </w:p>
        </w:tc>
      </w:tr>
      <w:tr w:rsidR="00365596" w:rsidRPr="00365596" w14:paraId="4B525D1B" w14:textId="77777777" w:rsidTr="00365596">
        <w:trPr>
          <w:trHeight w:val="336"/>
        </w:trPr>
        <w:tc>
          <w:tcPr>
            <w:tcW w:w="659" w:type="dxa"/>
            <w:tcBorders>
              <w:top w:val="nil"/>
              <w:left w:val="single" w:sz="4" w:space="0" w:color="auto"/>
              <w:bottom w:val="single" w:sz="4" w:space="0" w:color="auto"/>
              <w:right w:val="single" w:sz="4" w:space="0" w:color="auto"/>
            </w:tcBorders>
            <w:noWrap/>
            <w:vAlign w:val="center"/>
            <w:hideMark/>
          </w:tcPr>
          <w:p w14:paraId="57737F92"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14000673</w:t>
            </w:r>
          </w:p>
        </w:tc>
        <w:tc>
          <w:tcPr>
            <w:tcW w:w="519" w:type="dxa"/>
            <w:tcBorders>
              <w:top w:val="nil"/>
              <w:left w:val="nil"/>
              <w:bottom w:val="single" w:sz="4" w:space="0" w:color="auto"/>
              <w:right w:val="single" w:sz="4" w:space="0" w:color="auto"/>
            </w:tcBorders>
            <w:noWrap/>
            <w:vAlign w:val="center"/>
            <w:hideMark/>
          </w:tcPr>
          <w:p w14:paraId="04F1E693"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183177</w:t>
            </w:r>
          </w:p>
        </w:tc>
        <w:tc>
          <w:tcPr>
            <w:tcW w:w="1139" w:type="dxa"/>
            <w:tcBorders>
              <w:top w:val="nil"/>
              <w:left w:val="nil"/>
              <w:bottom w:val="single" w:sz="4" w:space="0" w:color="auto"/>
              <w:right w:val="single" w:sz="4" w:space="0" w:color="auto"/>
            </w:tcBorders>
            <w:vAlign w:val="center"/>
            <w:hideMark/>
          </w:tcPr>
          <w:p w14:paraId="4F274368"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MANTENIMIENTO PERIODICO</w:t>
            </w:r>
          </w:p>
        </w:tc>
        <w:tc>
          <w:tcPr>
            <w:tcW w:w="603" w:type="dxa"/>
            <w:tcBorders>
              <w:top w:val="nil"/>
              <w:left w:val="nil"/>
              <w:bottom w:val="single" w:sz="4" w:space="0" w:color="auto"/>
              <w:right w:val="single" w:sz="4" w:space="0" w:color="auto"/>
            </w:tcBorders>
            <w:noWrap/>
            <w:vAlign w:val="center"/>
            <w:hideMark/>
          </w:tcPr>
          <w:p w14:paraId="3051DADA"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19A</w:t>
            </w:r>
          </w:p>
        </w:tc>
        <w:tc>
          <w:tcPr>
            <w:tcW w:w="660" w:type="dxa"/>
            <w:tcBorders>
              <w:top w:val="nil"/>
              <w:left w:val="nil"/>
              <w:bottom w:val="single" w:sz="4" w:space="0" w:color="auto"/>
              <w:right w:val="single" w:sz="4" w:space="0" w:color="auto"/>
            </w:tcBorders>
            <w:noWrap/>
            <w:vAlign w:val="center"/>
            <w:hideMark/>
          </w:tcPr>
          <w:p w14:paraId="4F45B084"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10</w:t>
            </w:r>
          </w:p>
        </w:tc>
        <w:tc>
          <w:tcPr>
            <w:tcW w:w="600" w:type="dxa"/>
            <w:tcBorders>
              <w:top w:val="nil"/>
              <w:left w:val="nil"/>
              <w:bottom w:val="single" w:sz="4" w:space="0" w:color="auto"/>
              <w:right w:val="single" w:sz="4" w:space="0" w:color="auto"/>
            </w:tcBorders>
            <w:noWrap/>
            <w:vAlign w:val="center"/>
            <w:hideMark/>
          </w:tcPr>
          <w:p w14:paraId="3F919131"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11</w:t>
            </w:r>
          </w:p>
        </w:tc>
        <w:tc>
          <w:tcPr>
            <w:tcW w:w="700" w:type="dxa"/>
            <w:tcBorders>
              <w:top w:val="nil"/>
              <w:left w:val="nil"/>
              <w:bottom w:val="single" w:sz="4" w:space="0" w:color="auto"/>
              <w:right w:val="single" w:sz="4" w:space="0" w:color="auto"/>
            </w:tcBorders>
            <w:noWrap/>
            <w:vAlign w:val="center"/>
            <w:hideMark/>
          </w:tcPr>
          <w:p w14:paraId="4E7BEB74"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93.36</w:t>
            </w:r>
          </w:p>
        </w:tc>
        <w:tc>
          <w:tcPr>
            <w:tcW w:w="480" w:type="dxa"/>
            <w:tcBorders>
              <w:top w:val="nil"/>
              <w:left w:val="nil"/>
              <w:bottom w:val="single" w:sz="4" w:space="0" w:color="auto"/>
              <w:right w:val="single" w:sz="4" w:space="0" w:color="auto"/>
            </w:tcBorders>
            <w:noWrap/>
            <w:vAlign w:val="center"/>
            <w:hideMark/>
          </w:tcPr>
          <w:p w14:paraId="03049524"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8.08</w:t>
            </w:r>
          </w:p>
        </w:tc>
        <w:tc>
          <w:tcPr>
            <w:tcW w:w="500" w:type="dxa"/>
            <w:tcBorders>
              <w:top w:val="nil"/>
              <w:left w:val="nil"/>
              <w:bottom w:val="single" w:sz="4" w:space="0" w:color="auto"/>
              <w:right w:val="single" w:sz="4" w:space="0" w:color="auto"/>
            </w:tcBorders>
            <w:noWrap/>
            <w:vAlign w:val="center"/>
            <w:hideMark/>
          </w:tcPr>
          <w:p w14:paraId="61DA2AF1"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754.35</w:t>
            </w:r>
          </w:p>
        </w:tc>
        <w:tc>
          <w:tcPr>
            <w:tcW w:w="700" w:type="dxa"/>
            <w:tcBorders>
              <w:top w:val="nil"/>
              <w:left w:val="nil"/>
              <w:bottom w:val="single" w:sz="4" w:space="0" w:color="auto"/>
              <w:right w:val="single" w:sz="4" w:space="0" w:color="auto"/>
            </w:tcBorders>
            <w:noWrap/>
            <w:vAlign w:val="center"/>
            <w:hideMark/>
          </w:tcPr>
          <w:p w14:paraId="09AE477B"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377.17</w:t>
            </w:r>
          </w:p>
        </w:tc>
        <w:tc>
          <w:tcPr>
            <w:tcW w:w="920" w:type="dxa"/>
            <w:tcBorders>
              <w:top w:val="nil"/>
              <w:left w:val="nil"/>
              <w:bottom w:val="single" w:sz="4" w:space="0" w:color="auto"/>
              <w:right w:val="single" w:sz="4" w:space="0" w:color="auto"/>
            </w:tcBorders>
            <w:noWrap/>
            <w:vAlign w:val="center"/>
            <w:hideMark/>
          </w:tcPr>
          <w:p w14:paraId="7DF901B0"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$ 274,749.00 </w:t>
            </w:r>
          </w:p>
        </w:tc>
        <w:tc>
          <w:tcPr>
            <w:tcW w:w="1280" w:type="dxa"/>
            <w:tcBorders>
              <w:top w:val="nil"/>
              <w:left w:val="nil"/>
              <w:bottom w:val="single" w:sz="4" w:space="0" w:color="auto"/>
              <w:right w:val="single" w:sz="4" w:space="0" w:color="auto"/>
            </w:tcBorders>
            <w:noWrap/>
            <w:vAlign w:val="center"/>
            <w:hideMark/>
          </w:tcPr>
          <w:p w14:paraId="54C2AC21"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103,628,289.23 </w:t>
            </w:r>
          </w:p>
        </w:tc>
      </w:tr>
      <w:tr w:rsidR="00365596" w:rsidRPr="00365596" w14:paraId="3DFAAAC6" w14:textId="77777777" w:rsidTr="00365596">
        <w:trPr>
          <w:trHeight w:val="336"/>
        </w:trPr>
        <w:tc>
          <w:tcPr>
            <w:tcW w:w="659" w:type="dxa"/>
            <w:tcBorders>
              <w:top w:val="nil"/>
              <w:left w:val="single" w:sz="4" w:space="0" w:color="auto"/>
              <w:bottom w:val="single" w:sz="4" w:space="0" w:color="auto"/>
              <w:right w:val="single" w:sz="4" w:space="0" w:color="auto"/>
            </w:tcBorders>
            <w:noWrap/>
            <w:vAlign w:val="center"/>
            <w:hideMark/>
          </w:tcPr>
          <w:p w14:paraId="31CABCF6"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14000674</w:t>
            </w:r>
          </w:p>
        </w:tc>
        <w:tc>
          <w:tcPr>
            <w:tcW w:w="519" w:type="dxa"/>
            <w:tcBorders>
              <w:top w:val="nil"/>
              <w:left w:val="nil"/>
              <w:bottom w:val="single" w:sz="4" w:space="0" w:color="auto"/>
              <w:right w:val="single" w:sz="4" w:space="0" w:color="auto"/>
            </w:tcBorders>
            <w:noWrap/>
            <w:vAlign w:val="center"/>
            <w:hideMark/>
          </w:tcPr>
          <w:p w14:paraId="49BFEF46"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183393</w:t>
            </w:r>
          </w:p>
        </w:tc>
        <w:tc>
          <w:tcPr>
            <w:tcW w:w="1139" w:type="dxa"/>
            <w:tcBorders>
              <w:top w:val="nil"/>
              <w:left w:val="nil"/>
              <w:bottom w:val="single" w:sz="4" w:space="0" w:color="auto"/>
              <w:right w:val="single" w:sz="4" w:space="0" w:color="auto"/>
            </w:tcBorders>
            <w:vAlign w:val="center"/>
            <w:hideMark/>
          </w:tcPr>
          <w:p w14:paraId="634B3C53"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MANTENIMIENTO PERIODICO</w:t>
            </w:r>
          </w:p>
        </w:tc>
        <w:tc>
          <w:tcPr>
            <w:tcW w:w="603" w:type="dxa"/>
            <w:tcBorders>
              <w:top w:val="nil"/>
              <w:left w:val="nil"/>
              <w:bottom w:val="single" w:sz="4" w:space="0" w:color="auto"/>
              <w:right w:val="single" w:sz="4" w:space="0" w:color="auto"/>
            </w:tcBorders>
            <w:noWrap/>
            <w:vAlign w:val="center"/>
            <w:hideMark/>
          </w:tcPr>
          <w:p w14:paraId="58562B92"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CLL 10  </w:t>
            </w:r>
          </w:p>
        </w:tc>
        <w:tc>
          <w:tcPr>
            <w:tcW w:w="660" w:type="dxa"/>
            <w:tcBorders>
              <w:top w:val="nil"/>
              <w:left w:val="nil"/>
              <w:bottom w:val="single" w:sz="4" w:space="0" w:color="auto"/>
              <w:right w:val="single" w:sz="4" w:space="0" w:color="auto"/>
            </w:tcBorders>
            <w:noWrap/>
            <w:vAlign w:val="center"/>
            <w:hideMark/>
          </w:tcPr>
          <w:p w14:paraId="7CD25DB2"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19A</w:t>
            </w:r>
          </w:p>
        </w:tc>
        <w:tc>
          <w:tcPr>
            <w:tcW w:w="600" w:type="dxa"/>
            <w:tcBorders>
              <w:top w:val="nil"/>
              <w:left w:val="nil"/>
              <w:bottom w:val="single" w:sz="4" w:space="0" w:color="auto"/>
              <w:right w:val="single" w:sz="4" w:space="0" w:color="auto"/>
            </w:tcBorders>
            <w:noWrap/>
            <w:vAlign w:val="center"/>
            <w:hideMark/>
          </w:tcPr>
          <w:p w14:paraId="2D6177D1"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20</w:t>
            </w:r>
          </w:p>
        </w:tc>
        <w:tc>
          <w:tcPr>
            <w:tcW w:w="700" w:type="dxa"/>
            <w:tcBorders>
              <w:top w:val="nil"/>
              <w:left w:val="nil"/>
              <w:bottom w:val="single" w:sz="4" w:space="0" w:color="auto"/>
              <w:right w:val="single" w:sz="4" w:space="0" w:color="auto"/>
            </w:tcBorders>
            <w:noWrap/>
            <w:vAlign w:val="center"/>
            <w:hideMark/>
          </w:tcPr>
          <w:p w14:paraId="0F3E5409"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100.64</w:t>
            </w:r>
          </w:p>
        </w:tc>
        <w:tc>
          <w:tcPr>
            <w:tcW w:w="480" w:type="dxa"/>
            <w:tcBorders>
              <w:top w:val="nil"/>
              <w:left w:val="nil"/>
              <w:bottom w:val="single" w:sz="4" w:space="0" w:color="auto"/>
              <w:right w:val="single" w:sz="4" w:space="0" w:color="auto"/>
            </w:tcBorders>
            <w:noWrap/>
            <w:vAlign w:val="center"/>
            <w:hideMark/>
          </w:tcPr>
          <w:p w14:paraId="652A9F34"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7.94</w:t>
            </w:r>
          </w:p>
        </w:tc>
        <w:tc>
          <w:tcPr>
            <w:tcW w:w="500" w:type="dxa"/>
            <w:tcBorders>
              <w:top w:val="nil"/>
              <w:left w:val="nil"/>
              <w:bottom w:val="single" w:sz="4" w:space="0" w:color="auto"/>
              <w:right w:val="single" w:sz="4" w:space="0" w:color="auto"/>
            </w:tcBorders>
            <w:noWrap/>
            <w:vAlign w:val="center"/>
            <w:hideMark/>
          </w:tcPr>
          <w:p w14:paraId="2F2A881A"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799.08</w:t>
            </w:r>
          </w:p>
        </w:tc>
        <w:tc>
          <w:tcPr>
            <w:tcW w:w="700" w:type="dxa"/>
            <w:tcBorders>
              <w:top w:val="nil"/>
              <w:left w:val="nil"/>
              <w:bottom w:val="single" w:sz="4" w:space="0" w:color="auto"/>
              <w:right w:val="single" w:sz="4" w:space="0" w:color="auto"/>
            </w:tcBorders>
            <w:noWrap/>
            <w:vAlign w:val="center"/>
            <w:hideMark/>
          </w:tcPr>
          <w:p w14:paraId="0DB40ABD"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399.54</w:t>
            </w:r>
          </w:p>
        </w:tc>
        <w:tc>
          <w:tcPr>
            <w:tcW w:w="920" w:type="dxa"/>
            <w:tcBorders>
              <w:top w:val="nil"/>
              <w:left w:val="nil"/>
              <w:bottom w:val="single" w:sz="4" w:space="0" w:color="auto"/>
              <w:right w:val="single" w:sz="4" w:space="0" w:color="auto"/>
            </w:tcBorders>
            <w:noWrap/>
            <w:vAlign w:val="center"/>
            <w:hideMark/>
          </w:tcPr>
          <w:p w14:paraId="4F0CBE77"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$ 274,749.00 </w:t>
            </w:r>
          </w:p>
        </w:tc>
        <w:tc>
          <w:tcPr>
            <w:tcW w:w="1280" w:type="dxa"/>
            <w:tcBorders>
              <w:top w:val="nil"/>
              <w:left w:val="nil"/>
              <w:bottom w:val="single" w:sz="4" w:space="0" w:color="auto"/>
              <w:right w:val="single" w:sz="4" w:space="0" w:color="auto"/>
            </w:tcBorders>
            <w:noWrap/>
            <w:vAlign w:val="center"/>
            <w:hideMark/>
          </w:tcPr>
          <w:p w14:paraId="36F3B1D9"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109,773,435.26 </w:t>
            </w:r>
          </w:p>
        </w:tc>
      </w:tr>
      <w:tr w:rsidR="00365596" w:rsidRPr="00365596" w14:paraId="0A640173" w14:textId="77777777" w:rsidTr="00365596">
        <w:trPr>
          <w:trHeight w:val="336"/>
        </w:trPr>
        <w:tc>
          <w:tcPr>
            <w:tcW w:w="659" w:type="dxa"/>
            <w:tcBorders>
              <w:top w:val="nil"/>
              <w:left w:val="single" w:sz="4" w:space="0" w:color="auto"/>
              <w:bottom w:val="single" w:sz="4" w:space="0" w:color="auto"/>
              <w:right w:val="single" w:sz="4" w:space="0" w:color="auto"/>
            </w:tcBorders>
            <w:noWrap/>
            <w:vAlign w:val="center"/>
            <w:hideMark/>
          </w:tcPr>
          <w:p w14:paraId="547638B5"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14000572</w:t>
            </w:r>
          </w:p>
        </w:tc>
        <w:tc>
          <w:tcPr>
            <w:tcW w:w="519" w:type="dxa"/>
            <w:tcBorders>
              <w:top w:val="nil"/>
              <w:left w:val="nil"/>
              <w:bottom w:val="single" w:sz="4" w:space="0" w:color="auto"/>
              <w:right w:val="single" w:sz="4" w:space="0" w:color="auto"/>
            </w:tcBorders>
            <w:noWrap/>
            <w:vAlign w:val="center"/>
            <w:hideMark/>
          </w:tcPr>
          <w:p w14:paraId="566A5C3B"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183198</w:t>
            </w:r>
          </w:p>
        </w:tc>
        <w:tc>
          <w:tcPr>
            <w:tcW w:w="1139" w:type="dxa"/>
            <w:tcBorders>
              <w:top w:val="nil"/>
              <w:left w:val="nil"/>
              <w:bottom w:val="single" w:sz="4" w:space="0" w:color="auto"/>
              <w:right w:val="single" w:sz="4" w:space="0" w:color="auto"/>
            </w:tcBorders>
            <w:vAlign w:val="center"/>
            <w:hideMark/>
          </w:tcPr>
          <w:p w14:paraId="49613387"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MANTENIMIENTO PERIODICO</w:t>
            </w:r>
          </w:p>
        </w:tc>
        <w:tc>
          <w:tcPr>
            <w:tcW w:w="603" w:type="dxa"/>
            <w:tcBorders>
              <w:top w:val="nil"/>
              <w:left w:val="nil"/>
              <w:bottom w:val="single" w:sz="4" w:space="0" w:color="auto"/>
              <w:right w:val="single" w:sz="4" w:space="0" w:color="auto"/>
            </w:tcBorders>
            <w:noWrap/>
            <w:vAlign w:val="center"/>
            <w:hideMark/>
          </w:tcPr>
          <w:p w14:paraId="310291B1"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20</w:t>
            </w:r>
          </w:p>
        </w:tc>
        <w:tc>
          <w:tcPr>
            <w:tcW w:w="660" w:type="dxa"/>
            <w:tcBorders>
              <w:top w:val="nil"/>
              <w:left w:val="nil"/>
              <w:bottom w:val="single" w:sz="4" w:space="0" w:color="auto"/>
              <w:right w:val="single" w:sz="4" w:space="0" w:color="auto"/>
            </w:tcBorders>
            <w:noWrap/>
            <w:vAlign w:val="center"/>
            <w:hideMark/>
          </w:tcPr>
          <w:p w14:paraId="4A9C105D"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12</w:t>
            </w:r>
          </w:p>
        </w:tc>
        <w:tc>
          <w:tcPr>
            <w:tcW w:w="600" w:type="dxa"/>
            <w:tcBorders>
              <w:top w:val="nil"/>
              <w:left w:val="nil"/>
              <w:bottom w:val="single" w:sz="4" w:space="0" w:color="auto"/>
              <w:right w:val="single" w:sz="4" w:space="0" w:color="auto"/>
            </w:tcBorders>
            <w:noWrap/>
            <w:vAlign w:val="center"/>
            <w:hideMark/>
          </w:tcPr>
          <w:p w14:paraId="602C8A30"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12A</w:t>
            </w:r>
          </w:p>
        </w:tc>
        <w:tc>
          <w:tcPr>
            <w:tcW w:w="700" w:type="dxa"/>
            <w:tcBorders>
              <w:top w:val="nil"/>
              <w:left w:val="nil"/>
              <w:bottom w:val="single" w:sz="4" w:space="0" w:color="auto"/>
              <w:right w:val="single" w:sz="4" w:space="0" w:color="auto"/>
            </w:tcBorders>
            <w:noWrap/>
            <w:vAlign w:val="center"/>
            <w:hideMark/>
          </w:tcPr>
          <w:p w14:paraId="27BE3B71"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42.75</w:t>
            </w:r>
          </w:p>
        </w:tc>
        <w:tc>
          <w:tcPr>
            <w:tcW w:w="480" w:type="dxa"/>
            <w:tcBorders>
              <w:top w:val="nil"/>
              <w:left w:val="nil"/>
              <w:bottom w:val="single" w:sz="4" w:space="0" w:color="auto"/>
              <w:right w:val="single" w:sz="4" w:space="0" w:color="auto"/>
            </w:tcBorders>
            <w:noWrap/>
            <w:vAlign w:val="center"/>
            <w:hideMark/>
          </w:tcPr>
          <w:p w14:paraId="47FB1606"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5.14</w:t>
            </w:r>
          </w:p>
        </w:tc>
        <w:tc>
          <w:tcPr>
            <w:tcW w:w="500" w:type="dxa"/>
            <w:tcBorders>
              <w:top w:val="nil"/>
              <w:left w:val="nil"/>
              <w:bottom w:val="single" w:sz="4" w:space="0" w:color="auto"/>
              <w:right w:val="single" w:sz="4" w:space="0" w:color="auto"/>
            </w:tcBorders>
            <w:noWrap/>
            <w:vAlign w:val="center"/>
            <w:hideMark/>
          </w:tcPr>
          <w:p w14:paraId="0688B1F6"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219.74</w:t>
            </w:r>
          </w:p>
        </w:tc>
        <w:tc>
          <w:tcPr>
            <w:tcW w:w="700" w:type="dxa"/>
            <w:tcBorders>
              <w:top w:val="nil"/>
              <w:left w:val="nil"/>
              <w:bottom w:val="single" w:sz="4" w:space="0" w:color="auto"/>
              <w:right w:val="single" w:sz="4" w:space="0" w:color="auto"/>
            </w:tcBorders>
            <w:noWrap/>
            <w:vAlign w:val="center"/>
            <w:hideMark/>
          </w:tcPr>
          <w:p w14:paraId="451FCC4F"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109.87</w:t>
            </w:r>
          </w:p>
        </w:tc>
        <w:tc>
          <w:tcPr>
            <w:tcW w:w="920" w:type="dxa"/>
            <w:tcBorders>
              <w:top w:val="nil"/>
              <w:left w:val="nil"/>
              <w:bottom w:val="single" w:sz="4" w:space="0" w:color="auto"/>
              <w:right w:val="single" w:sz="4" w:space="0" w:color="auto"/>
            </w:tcBorders>
            <w:noWrap/>
            <w:vAlign w:val="center"/>
            <w:hideMark/>
          </w:tcPr>
          <w:p w14:paraId="6FEDD766"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$ 274,750.00 </w:t>
            </w:r>
          </w:p>
        </w:tc>
        <w:tc>
          <w:tcPr>
            <w:tcW w:w="1280" w:type="dxa"/>
            <w:tcBorders>
              <w:top w:val="nil"/>
              <w:left w:val="nil"/>
              <w:bottom w:val="single" w:sz="4" w:space="0" w:color="auto"/>
              <w:right w:val="single" w:sz="4" w:space="0" w:color="auto"/>
            </w:tcBorders>
            <w:noWrap/>
            <w:vAlign w:val="center"/>
            <w:hideMark/>
          </w:tcPr>
          <w:p w14:paraId="126D690E"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30,186,095.63 </w:t>
            </w:r>
          </w:p>
        </w:tc>
      </w:tr>
      <w:tr w:rsidR="00365596" w:rsidRPr="00365596" w14:paraId="7780AE53" w14:textId="77777777" w:rsidTr="00365596">
        <w:trPr>
          <w:trHeight w:val="336"/>
        </w:trPr>
        <w:tc>
          <w:tcPr>
            <w:tcW w:w="659" w:type="dxa"/>
            <w:tcBorders>
              <w:top w:val="nil"/>
              <w:left w:val="single" w:sz="4" w:space="0" w:color="auto"/>
              <w:bottom w:val="single" w:sz="4" w:space="0" w:color="auto"/>
              <w:right w:val="single" w:sz="4" w:space="0" w:color="auto"/>
            </w:tcBorders>
            <w:noWrap/>
            <w:vAlign w:val="center"/>
            <w:hideMark/>
          </w:tcPr>
          <w:p w14:paraId="39985791"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14000556</w:t>
            </w:r>
          </w:p>
        </w:tc>
        <w:tc>
          <w:tcPr>
            <w:tcW w:w="519" w:type="dxa"/>
            <w:tcBorders>
              <w:top w:val="nil"/>
              <w:left w:val="nil"/>
              <w:bottom w:val="single" w:sz="4" w:space="0" w:color="auto"/>
              <w:right w:val="single" w:sz="4" w:space="0" w:color="auto"/>
            </w:tcBorders>
            <w:noWrap/>
            <w:vAlign w:val="center"/>
            <w:hideMark/>
          </w:tcPr>
          <w:p w14:paraId="246437C2"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183199</w:t>
            </w:r>
          </w:p>
        </w:tc>
        <w:tc>
          <w:tcPr>
            <w:tcW w:w="1139" w:type="dxa"/>
            <w:tcBorders>
              <w:top w:val="nil"/>
              <w:left w:val="nil"/>
              <w:bottom w:val="single" w:sz="4" w:space="0" w:color="auto"/>
              <w:right w:val="single" w:sz="4" w:space="0" w:color="auto"/>
            </w:tcBorders>
            <w:vAlign w:val="center"/>
            <w:hideMark/>
          </w:tcPr>
          <w:p w14:paraId="33BBDE66"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MANTENIMIENTO PERIODICO</w:t>
            </w:r>
          </w:p>
        </w:tc>
        <w:tc>
          <w:tcPr>
            <w:tcW w:w="603" w:type="dxa"/>
            <w:tcBorders>
              <w:top w:val="nil"/>
              <w:left w:val="nil"/>
              <w:bottom w:val="single" w:sz="4" w:space="0" w:color="auto"/>
              <w:right w:val="single" w:sz="4" w:space="0" w:color="auto"/>
            </w:tcBorders>
            <w:noWrap/>
            <w:vAlign w:val="center"/>
            <w:hideMark/>
          </w:tcPr>
          <w:p w14:paraId="494FCF7D"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19B</w:t>
            </w:r>
          </w:p>
        </w:tc>
        <w:tc>
          <w:tcPr>
            <w:tcW w:w="660" w:type="dxa"/>
            <w:tcBorders>
              <w:top w:val="nil"/>
              <w:left w:val="nil"/>
              <w:bottom w:val="single" w:sz="4" w:space="0" w:color="auto"/>
              <w:right w:val="single" w:sz="4" w:space="0" w:color="auto"/>
            </w:tcBorders>
            <w:noWrap/>
            <w:vAlign w:val="center"/>
            <w:hideMark/>
          </w:tcPr>
          <w:p w14:paraId="15D7BF7C"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12A</w:t>
            </w:r>
          </w:p>
        </w:tc>
        <w:tc>
          <w:tcPr>
            <w:tcW w:w="600" w:type="dxa"/>
            <w:tcBorders>
              <w:top w:val="nil"/>
              <w:left w:val="nil"/>
              <w:bottom w:val="single" w:sz="4" w:space="0" w:color="auto"/>
              <w:right w:val="single" w:sz="4" w:space="0" w:color="auto"/>
            </w:tcBorders>
            <w:noWrap/>
            <w:vAlign w:val="center"/>
            <w:hideMark/>
          </w:tcPr>
          <w:p w14:paraId="10D9C00E"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12B</w:t>
            </w:r>
          </w:p>
        </w:tc>
        <w:tc>
          <w:tcPr>
            <w:tcW w:w="700" w:type="dxa"/>
            <w:tcBorders>
              <w:top w:val="nil"/>
              <w:left w:val="nil"/>
              <w:bottom w:val="single" w:sz="4" w:space="0" w:color="auto"/>
              <w:right w:val="single" w:sz="4" w:space="0" w:color="auto"/>
            </w:tcBorders>
            <w:noWrap/>
            <w:vAlign w:val="center"/>
            <w:hideMark/>
          </w:tcPr>
          <w:p w14:paraId="0CA9A1EB"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74.6</w:t>
            </w:r>
          </w:p>
        </w:tc>
        <w:tc>
          <w:tcPr>
            <w:tcW w:w="480" w:type="dxa"/>
            <w:tcBorders>
              <w:top w:val="nil"/>
              <w:left w:val="nil"/>
              <w:bottom w:val="single" w:sz="4" w:space="0" w:color="auto"/>
              <w:right w:val="single" w:sz="4" w:space="0" w:color="auto"/>
            </w:tcBorders>
            <w:noWrap/>
            <w:vAlign w:val="center"/>
            <w:hideMark/>
          </w:tcPr>
          <w:p w14:paraId="62B57D20"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5.86</w:t>
            </w:r>
          </w:p>
        </w:tc>
        <w:tc>
          <w:tcPr>
            <w:tcW w:w="500" w:type="dxa"/>
            <w:tcBorders>
              <w:top w:val="nil"/>
              <w:left w:val="nil"/>
              <w:bottom w:val="single" w:sz="4" w:space="0" w:color="auto"/>
              <w:right w:val="single" w:sz="4" w:space="0" w:color="auto"/>
            </w:tcBorders>
            <w:noWrap/>
            <w:vAlign w:val="center"/>
            <w:hideMark/>
          </w:tcPr>
          <w:p w14:paraId="678E1CC6"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437.16</w:t>
            </w:r>
          </w:p>
        </w:tc>
        <w:tc>
          <w:tcPr>
            <w:tcW w:w="700" w:type="dxa"/>
            <w:tcBorders>
              <w:top w:val="nil"/>
              <w:left w:val="nil"/>
              <w:bottom w:val="single" w:sz="4" w:space="0" w:color="auto"/>
              <w:right w:val="single" w:sz="4" w:space="0" w:color="auto"/>
            </w:tcBorders>
            <w:noWrap/>
            <w:vAlign w:val="center"/>
            <w:hideMark/>
          </w:tcPr>
          <w:p w14:paraId="51F2C433"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218.58</w:t>
            </w:r>
          </w:p>
        </w:tc>
        <w:tc>
          <w:tcPr>
            <w:tcW w:w="920" w:type="dxa"/>
            <w:tcBorders>
              <w:top w:val="nil"/>
              <w:left w:val="nil"/>
              <w:bottom w:val="single" w:sz="4" w:space="0" w:color="auto"/>
              <w:right w:val="single" w:sz="4" w:space="0" w:color="auto"/>
            </w:tcBorders>
            <w:noWrap/>
            <w:vAlign w:val="center"/>
            <w:hideMark/>
          </w:tcPr>
          <w:p w14:paraId="695DC46C"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$ 274,751.00 </w:t>
            </w:r>
          </w:p>
        </w:tc>
        <w:tc>
          <w:tcPr>
            <w:tcW w:w="1280" w:type="dxa"/>
            <w:tcBorders>
              <w:top w:val="nil"/>
              <w:left w:val="nil"/>
              <w:bottom w:val="single" w:sz="4" w:space="0" w:color="auto"/>
              <w:right w:val="single" w:sz="4" w:space="0" w:color="auto"/>
            </w:tcBorders>
            <w:noWrap/>
            <w:vAlign w:val="center"/>
            <w:hideMark/>
          </w:tcPr>
          <w:p w14:paraId="4D4552A7"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60,054,524.08 </w:t>
            </w:r>
          </w:p>
        </w:tc>
      </w:tr>
      <w:tr w:rsidR="00365596" w:rsidRPr="00365596" w14:paraId="04822443" w14:textId="77777777" w:rsidTr="00365596">
        <w:trPr>
          <w:trHeight w:val="336"/>
        </w:trPr>
        <w:tc>
          <w:tcPr>
            <w:tcW w:w="659" w:type="dxa"/>
            <w:tcBorders>
              <w:top w:val="nil"/>
              <w:left w:val="single" w:sz="4" w:space="0" w:color="auto"/>
              <w:bottom w:val="single" w:sz="4" w:space="0" w:color="auto"/>
              <w:right w:val="single" w:sz="4" w:space="0" w:color="auto"/>
            </w:tcBorders>
            <w:noWrap/>
            <w:vAlign w:val="center"/>
            <w:hideMark/>
          </w:tcPr>
          <w:p w14:paraId="1EACA84E"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14000527</w:t>
            </w:r>
          </w:p>
        </w:tc>
        <w:tc>
          <w:tcPr>
            <w:tcW w:w="519" w:type="dxa"/>
            <w:tcBorders>
              <w:top w:val="nil"/>
              <w:left w:val="nil"/>
              <w:bottom w:val="single" w:sz="4" w:space="0" w:color="auto"/>
              <w:right w:val="single" w:sz="4" w:space="0" w:color="auto"/>
            </w:tcBorders>
            <w:noWrap/>
            <w:vAlign w:val="center"/>
            <w:hideMark/>
          </w:tcPr>
          <w:p w14:paraId="60C17F71"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183457</w:t>
            </w:r>
          </w:p>
        </w:tc>
        <w:tc>
          <w:tcPr>
            <w:tcW w:w="1139" w:type="dxa"/>
            <w:tcBorders>
              <w:top w:val="nil"/>
              <w:left w:val="nil"/>
              <w:bottom w:val="single" w:sz="4" w:space="0" w:color="auto"/>
              <w:right w:val="single" w:sz="4" w:space="0" w:color="auto"/>
            </w:tcBorders>
            <w:vAlign w:val="center"/>
            <w:hideMark/>
          </w:tcPr>
          <w:p w14:paraId="7A42FA59"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MANTENIMIENTO PERIODICO</w:t>
            </w:r>
          </w:p>
        </w:tc>
        <w:tc>
          <w:tcPr>
            <w:tcW w:w="603" w:type="dxa"/>
            <w:tcBorders>
              <w:top w:val="nil"/>
              <w:left w:val="nil"/>
              <w:bottom w:val="single" w:sz="4" w:space="0" w:color="auto"/>
              <w:right w:val="single" w:sz="4" w:space="0" w:color="auto"/>
            </w:tcBorders>
            <w:noWrap/>
            <w:vAlign w:val="center"/>
            <w:hideMark/>
          </w:tcPr>
          <w:p w14:paraId="768B2289"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12B</w:t>
            </w:r>
          </w:p>
        </w:tc>
        <w:tc>
          <w:tcPr>
            <w:tcW w:w="660" w:type="dxa"/>
            <w:tcBorders>
              <w:top w:val="nil"/>
              <w:left w:val="nil"/>
              <w:bottom w:val="single" w:sz="4" w:space="0" w:color="auto"/>
              <w:right w:val="single" w:sz="4" w:space="0" w:color="auto"/>
            </w:tcBorders>
            <w:noWrap/>
            <w:vAlign w:val="center"/>
            <w:hideMark/>
          </w:tcPr>
          <w:p w14:paraId="52B8EBDD"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19B</w:t>
            </w:r>
          </w:p>
        </w:tc>
        <w:tc>
          <w:tcPr>
            <w:tcW w:w="600" w:type="dxa"/>
            <w:tcBorders>
              <w:top w:val="nil"/>
              <w:left w:val="nil"/>
              <w:bottom w:val="single" w:sz="4" w:space="0" w:color="auto"/>
              <w:right w:val="single" w:sz="4" w:space="0" w:color="auto"/>
            </w:tcBorders>
            <w:noWrap/>
            <w:vAlign w:val="center"/>
            <w:hideMark/>
          </w:tcPr>
          <w:p w14:paraId="1B3D4E23"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21</w:t>
            </w:r>
          </w:p>
        </w:tc>
        <w:tc>
          <w:tcPr>
            <w:tcW w:w="700" w:type="dxa"/>
            <w:tcBorders>
              <w:top w:val="nil"/>
              <w:left w:val="nil"/>
              <w:bottom w:val="single" w:sz="4" w:space="0" w:color="auto"/>
              <w:right w:val="single" w:sz="4" w:space="0" w:color="auto"/>
            </w:tcBorders>
            <w:noWrap/>
            <w:vAlign w:val="center"/>
            <w:hideMark/>
          </w:tcPr>
          <w:p w14:paraId="19EB47D2"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82.96</w:t>
            </w:r>
          </w:p>
        </w:tc>
        <w:tc>
          <w:tcPr>
            <w:tcW w:w="480" w:type="dxa"/>
            <w:tcBorders>
              <w:top w:val="nil"/>
              <w:left w:val="nil"/>
              <w:bottom w:val="single" w:sz="4" w:space="0" w:color="auto"/>
              <w:right w:val="single" w:sz="4" w:space="0" w:color="auto"/>
            </w:tcBorders>
            <w:noWrap/>
            <w:vAlign w:val="center"/>
            <w:hideMark/>
          </w:tcPr>
          <w:p w14:paraId="722EF21E"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5.39</w:t>
            </w:r>
          </w:p>
        </w:tc>
        <w:tc>
          <w:tcPr>
            <w:tcW w:w="500" w:type="dxa"/>
            <w:tcBorders>
              <w:top w:val="nil"/>
              <w:left w:val="nil"/>
              <w:bottom w:val="single" w:sz="4" w:space="0" w:color="auto"/>
              <w:right w:val="single" w:sz="4" w:space="0" w:color="auto"/>
            </w:tcBorders>
            <w:noWrap/>
            <w:vAlign w:val="center"/>
            <w:hideMark/>
          </w:tcPr>
          <w:p w14:paraId="0E0B56E6"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447.15</w:t>
            </w:r>
          </w:p>
        </w:tc>
        <w:tc>
          <w:tcPr>
            <w:tcW w:w="700" w:type="dxa"/>
            <w:tcBorders>
              <w:top w:val="nil"/>
              <w:left w:val="nil"/>
              <w:bottom w:val="single" w:sz="4" w:space="0" w:color="auto"/>
              <w:right w:val="single" w:sz="4" w:space="0" w:color="auto"/>
            </w:tcBorders>
            <w:noWrap/>
            <w:vAlign w:val="center"/>
            <w:hideMark/>
          </w:tcPr>
          <w:p w14:paraId="64115B8B"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223.58</w:t>
            </w:r>
          </w:p>
        </w:tc>
        <w:tc>
          <w:tcPr>
            <w:tcW w:w="920" w:type="dxa"/>
            <w:tcBorders>
              <w:top w:val="nil"/>
              <w:left w:val="nil"/>
              <w:bottom w:val="single" w:sz="4" w:space="0" w:color="auto"/>
              <w:right w:val="single" w:sz="4" w:space="0" w:color="auto"/>
            </w:tcBorders>
            <w:noWrap/>
            <w:vAlign w:val="center"/>
            <w:hideMark/>
          </w:tcPr>
          <w:p w14:paraId="08F1C0DC"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$ 274,752.00 </w:t>
            </w:r>
          </w:p>
        </w:tc>
        <w:tc>
          <w:tcPr>
            <w:tcW w:w="1280" w:type="dxa"/>
            <w:tcBorders>
              <w:top w:val="nil"/>
              <w:left w:val="nil"/>
              <w:bottom w:val="single" w:sz="4" w:space="0" w:color="auto"/>
              <w:right w:val="single" w:sz="4" w:space="0" w:color="auto"/>
            </w:tcBorders>
            <w:noWrap/>
            <w:vAlign w:val="center"/>
            <w:hideMark/>
          </w:tcPr>
          <w:p w14:paraId="3D8077D6"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61,428,282.85 </w:t>
            </w:r>
          </w:p>
        </w:tc>
      </w:tr>
      <w:tr w:rsidR="00365596" w:rsidRPr="00365596" w14:paraId="037BFFAD" w14:textId="77777777" w:rsidTr="00365596">
        <w:trPr>
          <w:trHeight w:val="336"/>
        </w:trPr>
        <w:tc>
          <w:tcPr>
            <w:tcW w:w="659" w:type="dxa"/>
            <w:tcBorders>
              <w:top w:val="nil"/>
              <w:left w:val="single" w:sz="4" w:space="0" w:color="auto"/>
              <w:bottom w:val="single" w:sz="4" w:space="0" w:color="auto"/>
              <w:right w:val="single" w:sz="4" w:space="0" w:color="auto"/>
            </w:tcBorders>
            <w:noWrap/>
            <w:vAlign w:val="center"/>
            <w:hideMark/>
          </w:tcPr>
          <w:p w14:paraId="0FB5D7D0"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14000502</w:t>
            </w:r>
          </w:p>
        </w:tc>
        <w:tc>
          <w:tcPr>
            <w:tcW w:w="519" w:type="dxa"/>
            <w:tcBorders>
              <w:top w:val="nil"/>
              <w:left w:val="nil"/>
              <w:bottom w:val="single" w:sz="4" w:space="0" w:color="auto"/>
              <w:right w:val="single" w:sz="4" w:space="0" w:color="auto"/>
            </w:tcBorders>
            <w:noWrap/>
            <w:vAlign w:val="center"/>
            <w:hideMark/>
          </w:tcPr>
          <w:p w14:paraId="4E250640"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183202</w:t>
            </w:r>
          </w:p>
        </w:tc>
        <w:tc>
          <w:tcPr>
            <w:tcW w:w="1139" w:type="dxa"/>
            <w:tcBorders>
              <w:top w:val="nil"/>
              <w:left w:val="nil"/>
              <w:bottom w:val="single" w:sz="4" w:space="0" w:color="auto"/>
              <w:right w:val="single" w:sz="4" w:space="0" w:color="auto"/>
            </w:tcBorders>
            <w:vAlign w:val="center"/>
            <w:hideMark/>
          </w:tcPr>
          <w:p w14:paraId="7D6DAE39"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MANTENIMIENTO PERIODICO</w:t>
            </w:r>
          </w:p>
        </w:tc>
        <w:tc>
          <w:tcPr>
            <w:tcW w:w="603" w:type="dxa"/>
            <w:tcBorders>
              <w:top w:val="nil"/>
              <w:left w:val="nil"/>
              <w:bottom w:val="single" w:sz="4" w:space="0" w:color="auto"/>
              <w:right w:val="single" w:sz="4" w:space="0" w:color="auto"/>
            </w:tcBorders>
            <w:noWrap/>
            <w:vAlign w:val="center"/>
            <w:hideMark/>
          </w:tcPr>
          <w:p w14:paraId="73C1ACE7"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21</w:t>
            </w:r>
          </w:p>
        </w:tc>
        <w:tc>
          <w:tcPr>
            <w:tcW w:w="660" w:type="dxa"/>
            <w:tcBorders>
              <w:top w:val="nil"/>
              <w:left w:val="nil"/>
              <w:bottom w:val="single" w:sz="4" w:space="0" w:color="auto"/>
              <w:right w:val="single" w:sz="4" w:space="0" w:color="auto"/>
            </w:tcBorders>
            <w:noWrap/>
            <w:vAlign w:val="center"/>
            <w:hideMark/>
          </w:tcPr>
          <w:p w14:paraId="6812FED8"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12B</w:t>
            </w:r>
          </w:p>
        </w:tc>
        <w:tc>
          <w:tcPr>
            <w:tcW w:w="600" w:type="dxa"/>
            <w:tcBorders>
              <w:top w:val="nil"/>
              <w:left w:val="nil"/>
              <w:bottom w:val="single" w:sz="4" w:space="0" w:color="auto"/>
              <w:right w:val="single" w:sz="4" w:space="0" w:color="auto"/>
            </w:tcBorders>
            <w:noWrap/>
            <w:vAlign w:val="center"/>
            <w:hideMark/>
          </w:tcPr>
          <w:p w14:paraId="3BC79815"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13</w:t>
            </w:r>
          </w:p>
        </w:tc>
        <w:tc>
          <w:tcPr>
            <w:tcW w:w="700" w:type="dxa"/>
            <w:tcBorders>
              <w:top w:val="nil"/>
              <w:left w:val="nil"/>
              <w:bottom w:val="single" w:sz="4" w:space="0" w:color="auto"/>
              <w:right w:val="single" w:sz="4" w:space="0" w:color="auto"/>
            </w:tcBorders>
            <w:noWrap/>
            <w:vAlign w:val="center"/>
            <w:hideMark/>
          </w:tcPr>
          <w:p w14:paraId="732241E1"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72</w:t>
            </w:r>
          </w:p>
        </w:tc>
        <w:tc>
          <w:tcPr>
            <w:tcW w:w="480" w:type="dxa"/>
            <w:tcBorders>
              <w:top w:val="nil"/>
              <w:left w:val="nil"/>
              <w:bottom w:val="single" w:sz="4" w:space="0" w:color="auto"/>
              <w:right w:val="single" w:sz="4" w:space="0" w:color="auto"/>
            </w:tcBorders>
            <w:noWrap/>
            <w:vAlign w:val="center"/>
            <w:hideMark/>
          </w:tcPr>
          <w:p w14:paraId="0446564B"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5.28</w:t>
            </w:r>
          </w:p>
        </w:tc>
        <w:tc>
          <w:tcPr>
            <w:tcW w:w="500" w:type="dxa"/>
            <w:tcBorders>
              <w:top w:val="nil"/>
              <w:left w:val="nil"/>
              <w:bottom w:val="single" w:sz="4" w:space="0" w:color="auto"/>
              <w:right w:val="single" w:sz="4" w:space="0" w:color="auto"/>
            </w:tcBorders>
            <w:noWrap/>
            <w:vAlign w:val="center"/>
            <w:hideMark/>
          </w:tcPr>
          <w:p w14:paraId="196930F9"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380.16</w:t>
            </w:r>
          </w:p>
        </w:tc>
        <w:tc>
          <w:tcPr>
            <w:tcW w:w="700" w:type="dxa"/>
            <w:tcBorders>
              <w:top w:val="nil"/>
              <w:left w:val="nil"/>
              <w:bottom w:val="single" w:sz="4" w:space="0" w:color="auto"/>
              <w:right w:val="single" w:sz="4" w:space="0" w:color="auto"/>
            </w:tcBorders>
            <w:noWrap/>
            <w:vAlign w:val="center"/>
            <w:hideMark/>
          </w:tcPr>
          <w:p w14:paraId="73887CFF"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190.08</w:t>
            </w:r>
          </w:p>
        </w:tc>
        <w:tc>
          <w:tcPr>
            <w:tcW w:w="920" w:type="dxa"/>
            <w:tcBorders>
              <w:top w:val="nil"/>
              <w:left w:val="nil"/>
              <w:bottom w:val="single" w:sz="4" w:space="0" w:color="auto"/>
              <w:right w:val="single" w:sz="4" w:space="0" w:color="auto"/>
            </w:tcBorders>
            <w:noWrap/>
            <w:vAlign w:val="center"/>
            <w:hideMark/>
          </w:tcPr>
          <w:p w14:paraId="563039D9"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$ 274,753.00 </w:t>
            </w:r>
          </w:p>
        </w:tc>
        <w:tc>
          <w:tcPr>
            <w:tcW w:w="1280" w:type="dxa"/>
            <w:tcBorders>
              <w:top w:val="nil"/>
              <w:left w:val="nil"/>
              <w:bottom w:val="single" w:sz="4" w:space="0" w:color="auto"/>
              <w:right w:val="single" w:sz="4" w:space="0" w:color="auto"/>
            </w:tcBorders>
            <w:noWrap/>
            <w:vAlign w:val="center"/>
            <w:hideMark/>
          </w:tcPr>
          <w:p w14:paraId="13281360"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52,225,050.24 </w:t>
            </w:r>
          </w:p>
        </w:tc>
      </w:tr>
      <w:tr w:rsidR="00365596" w:rsidRPr="00365596" w14:paraId="46E8A71E" w14:textId="77777777" w:rsidTr="00365596">
        <w:trPr>
          <w:trHeight w:val="336"/>
        </w:trPr>
        <w:tc>
          <w:tcPr>
            <w:tcW w:w="659" w:type="dxa"/>
            <w:tcBorders>
              <w:top w:val="nil"/>
              <w:left w:val="single" w:sz="4" w:space="0" w:color="auto"/>
              <w:bottom w:val="single" w:sz="4" w:space="0" w:color="auto"/>
              <w:right w:val="single" w:sz="4" w:space="0" w:color="auto"/>
            </w:tcBorders>
            <w:noWrap/>
            <w:vAlign w:val="center"/>
            <w:hideMark/>
          </w:tcPr>
          <w:p w14:paraId="470C535C"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lastRenderedPageBreak/>
              <w:t>14000537</w:t>
            </w:r>
          </w:p>
        </w:tc>
        <w:tc>
          <w:tcPr>
            <w:tcW w:w="519" w:type="dxa"/>
            <w:tcBorders>
              <w:top w:val="nil"/>
              <w:left w:val="nil"/>
              <w:bottom w:val="single" w:sz="4" w:space="0" w:color="auto"/>
              <w:right w:val="single" w:sz="4" w:space="0" w:color="auto"/>
            </w:tcBorders>
            <w:noWrap/>
            <w:vAlign w:val="center"/>
            <w:hideMark/>
          </w:tcPr>
          <w:p w14:paraId="3EE6BD26"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183201</w:t>
            </w:r>
          </w:p>
        </w:tc>
        <w:tc>
          <w:tcPr>
            <w:tcW w:w="1139" w:type="dxa"/>
            <w:tcBorders>
              <w:top w:val="nil"/>
              <w:left w:val="nil"/>
              <w:bottom w:val="single" w:sz="4" w:space="0" w:color="auto"/>
              <w:right w:val="single" w:sz="4" w:space="0" w:color="auto"/>
            </w:tcBorders>
            <w:vAlign w:val="center"/>
            <w:hideMark/>
          </w:tcPr>
          <w:p w14:paraId="34F334A5"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MANTENIMIENTO PERIODICO</w:t>
            </w:r>
          </w:p>
        </w:tc>
        <w:tc>
          <w:tcPr>
            <w:tcW w:w="603" w:type="dxa"/>
            <w:tcBorders>
              <w:top w:val="nil"/>
              <w:left w:val="nil"/>
              <w:bottom w:val="single" w:sz="4" w:space="0" w:color="auto"/>
              <w:right w:val="single" w:sz="4" w:space="0" w:color="auto"/>
            </w:tcBorders>
            <w:noWrap/>
            <w:vAlign w:val="center"/>
            <w:hideMark/>
          </w:tcPr>
          <w:p w14:paraId="71376F9C"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21</w:t>
            </w:r>
          </w:p>
        </w:tc>
        <w:tc>
          <w:tcPr>
            <w:tcW w:w="660" w:type="dxa"/>
            <w:tcBorders>
              <w:top w:val="nil"/>
              <w:left w:val="nil"/>
              <w:bottom w:val="single" w:sz="4" w:space="0" w:color="auto"/>
              <w:right w:val="single" w:sz="4" w:space="0" w:color="auto"/>
            </w:tcBorders>
            <w:noWrap/>
            <w:vAlign w:val="center"/>
            <w:hideMark/>
          </w:tcPr>
          <w:p w14:paraId="76C1B36C"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12A</w:t>
            </w:r>
          </w:p>
        </w:tc>
        <w:tc>
          <w:tcPr>
            <w:tcW w:w="600" w:type="dxa"/>
            <w:tcBorders>
              <w:top w:val="nil"/>
              <w:left w:val="nil"/>
              <w:bottom w:val="single" w:sz="4" w:space="0" w:color="auto"/>
              <w:right w:val="single" w:sz="4" w:space="0" w:color="auto"/>
            </w:tcBorders>
            <w:noWrap/>
            <w:vAlign w:val="center"/>
            <w:hideMark/>
          </w:tcPr>
          <w:p w14:paraId="000D2AE7"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12B</w:t>
            </w:r>
          </w:p>
        </w:tc>
        <w:tc>
          <w:tcPr>
            <w:tcW w:w="700" w:type="dxa"/>
            <w:tcBorders>
              <w:top w:val="nil"/>
              <w:left w:val="nil"/>
              <w:bottom w:val="single" w:sz="4" w:space="0" w:color="auto"/>
              <w:right w:val="single" w:sz="4" w:space="0" w:color="auto"/>
            </w:tcBorders>
            <w:noWrap/>
            <w:vAlign w:val="center"/>
            <w:hideMark/>
          </w:tcPr>
          <w:p w14:paraId="14338C5A"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74.86</w:t>
            </w:r>
          </w:p>
        </w:tc>
        <w:tc>
          <w:tcPr>
            <w:tcW w:w="480" w:type="dxa"/>
            <w:tcBorders>
              <w:top w:val="nil"/>
              <w:left w:val="nil"/>
              <w:bottom w:val="single" w:sz="4" w:space="0" w:color="auto"/>
              <w:right w:val="single" w:sz="4" w:space="0" w:color="auto"/>
            </w:tcBorders>
            <w:noWrap/>
            <w:vAlign w:val="center"/>
            <w:hideMark/>
          </w:tcPr>
          <w:p w14:paraId="189C2786"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5.86</w:t>
            </w:r>
          </w:p>
        </w:tc>
        <w:tc>
          <w:tcPr>
            <w:tcW w:w="500" w:type="dxa"/>
            <w:tcBorders>
              <w:top w:val="nil"/>
              <w:left w:val="nil"/>
              <w:bottom w:val="single" w:sz="4" w:space="0" w:color="auto"/>
              <w:right w:val="single" w:sz="4" w:space="0" w:color="auto"/>
            </w:tcBorders>
            <w:noWrap/>
            <w:vAlign w:val="center"/>
            <w:hideMark/>
          </w:tcPr>
          <w:p w14:paraId="39A5041C"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438.68</w:t>
            </w:r>
          </w:p>
        </w:tc>
        <w:tc>
          <w:tcPr>
            <w:tcW w:w="700" w:type="dxa"/>
            <w:tcBorders>
              <w:top w:val="nil"/>
              <w:left w:val="nil"/>
              <w:bottom w:val="single" w:sz="4" w:space="0" w:color="auto"/>
              <w:right w:val="single" w:sz="4" w:space="0" w:color="auto"/>
            </w:tcBorders>
            <w:noWrap/>
            <w:vAlign w:val="center"/>
            <w:hideMark/>
          </w:tcPr>
          <w:p w14:paraId="0A9B71F2"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219.34</w:t>
            </w:r>
          </w:p>
        </w:tc>
        <w:tc>
          <w:tcPr>
            <w:tcW w:w="920" w:type="dxa"/>
            <w:tcBorders>
              <w:top w:val="nil"/>
              <w:left w:val="nil"/>
              <w:bottom w:val="single" w:sz="4" w:space="0" w:color="auto"/>
              <w:right w:val="single" w:sz="4" w:space="0" w:color="auto"/>
            </w:tcBorders>
            <w:noWrap/>
            <w:vAlign w:val="center"/>
            <w:hideMark/>
          </w:tcPr>
          <w:p w14:paraId="086F1507"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$ 274,754.00 </w:t>
            </w:r>
          </w:p>
        </w:tc>
        <w:tc>
          <w:tcPr>
            <w:tcW w:w="1280" w:type="dxa"/>
            <w:tcBorders>
              <w:top w:val="nil"/>
              <w:left w:val="nil"/>
              <w:bottom w:val="single" w:sz="4" w:space="0" w:color="auto"/>
              <w:right w:val="single" w:sz="4" w:space="0" w:color="auto"/>
            </w:tcBorders>
            <w:noWrap/>
            <w:vAlign w:val="center"/>
            <w:hideMark/>
          </w:tcPr>
          <w:p w14:paraId="2886654B"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60,264,487.41 </w:t>
            </w:r>
          </w:p>
        </w:tc>
      </w:tr>
      <w:tr w:rsidR="00365596" w:rsidRPr="00365596" w14:paraId="70E52990" w14:textId="77777777" w:rsidTr="00365596">
        <w:trPr>
          <w:trHeight w:val="336"/>
        </w:trPr>
        <w:tc>
          <w:tcPr>
            <w:tcW w:w="659" w:type="dxa"/>
            <w:tcBorders>
              <w:top w:val="nil"/>
              <w:left w:val="single" w:sz="4" w:space="0" w:color="auto"/>
              <w:bottom w:val="single" w:sz="4" w:space="0" w:color="auto"/>
              <w:right w:val="single" w:sz="4" w:space="0" w:color="auto"/>
            </w:tcBorders>
            <w:noWrap/>
            <w:vAlign w:val="center"/>
            <w:hideMark/>
          </w:tcPr>
          <w:p w14:paraId="665FFE91"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14000503</w:t>
            </w:r>
          </w:p>
        </w:tc>
        <w:tc>
          <w:tcPr>
            <w:tcW w:w="519" w:type="dxa"/>
            <w:tcBorders>
              <w:top w:val="nil"/>
              <w:left w:val="nil"/>
              <w:bottom w:val="single" w:sz="4" w:space="0" w:color="auto"/>
              <w:right w:val="single" w:sz="4" w:space="0" w:color="auto"/>
            </w:tcBorders>
            <w:noWrap/>
            <w:vAlign w:val="center"/>
            <w:hideMark/>
          </w:tcPr>
          <w:p w14:paraId="0BB5E442"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183458</w:t>
            </w:r>
          </w:p>
        </w:tc>
        <w:tc>
          <w:tcPr>
            <w:tcW w:w="1139" w:type="dxa"/>
            <w:tcBorders>
              <w:top w:val="nil"/>
              <w:left w:val="nil"/>
              <w:bottom w:val="single" w:sz="4" w:space="0" w:color="auto"/>
              <w:right w:val="single" w:sz="4" w:space="0" w:color="auto"/>
            </w:tcBorders>
            <w:vAlign w:val="center"/>
            <w:hideMark/>
          </w:tcPr>
          <w:p w14:paraId="5C027AD0"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MANTENIMIENTO PERIODICO</w:t>
            </w:r>
          </w:p>
        </w:tc>
        <w:tc>
          <w:tcPr>
            <w:tcW w:w="603" w:type="dxa"/>
            <w:tcBorders>
              <w:top w:val="nil"/>
              <w:left w:val="nil"/>
              <w:bottom w:val="single" w:sz="4" w:space="0" w:color="auto"/>
              <w:right w:val="single" w:sz="4" w:space="0" w:color="auto"/>
            </w:tcBorders>
            <w:noWrap/>
            <w:vAlign w:val="center"/>
            <w:hideMark/>
          </w:tcPr>
          <w:p w14:paraId="662E584C"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12B</w:t>
            </w:r>
          </w:p>
        </w:tc>
        <w:tc>
          <w:tcPr>
            <w:tcW w:w="660" w:type="dxa"/>
            <w:tcBorders>
              <w:top w:val="nil"/>
              <w:left w:val="nil"/>
              <w:bottom w:val="single" w:sz="4" w:space="0" w:color="auto"/>
              <w:right w:val="single" w:sz="4" w:space="0" w:color="auto"/>
            </w:tcBorders>
            <w:noWrap/>
            <w:vAlign w:val="center"/>
            <w:hideMark/>
          </w:tcPr>
          <w:p w14:paraId="1AFE5A8A"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21</w:t>
            </w:r>
          </w:p>
        </w:tc>
        <w:tc>
          <w:tcPr>
            <w:tcW w:w="600" w:type="dxa"/>
            <w:tcBorders>
              <w:top w:val="nil"/>
              <w:left w:val="nil"/>
              <w:bottom w:val="single" w:sz="4" w:space="0" w:color="auto"/>
              <w:right w:val="single" w:sz="4" w:space="0" w:color="auto"/>
            </w:tcBorders>
            <w:noWrap/>
            <w:vAlign w:val="center"/>
            <w:hideMark/>
          </w:tcPr>
          <w:p w14:paraId="2AE42E6F"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22</w:t>
            </w:r>
          </w:p>
        </w:tc>
        <w:tc>
          <w:tcPr>
            <w:tcW w:w="700" w:type="dxa"/>
            <w:tcBorders>
              <w:top w:val="nil"/>
              <w:left w:val="nil"/>
              <w:bottom w:val="single" w:sz="4" w:space="0" w:color="auto"/>
              <w:right w:val="single" w:sz="4" w:space="0" w:color="auto"/>
            </w:tcBorders>
            <w:noWrap/>
            <w:vAlign w:val="center"/>
            <w:hideMark/>
          </w:tcPr>
          <w:p w14:paraId="0ED62B0C"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117.66</w:t>
            </w:r>
          </w:p>
        </w:tc>
        <w:tc>
          <w:tcPr>
            <w:tcW w:w="480" w:type="dxa"/>
            <w:tcBorders>
              <w:top w:val="nil"/>
              <w:left w:val="nil"/>
              <w:bottom w:val="single" w:sz="4" w:space="0" w:color="auto"/>
              <w:right w:val="single" w:sz="4" w:space="0" w:color="auto"/>
            </w:tcBorders>
            <w:noWrap/>
            <w:vAlign w:val="center"/>
            <w:hideMark/>
          </w:tcPr>
          <w:p w14:paraId="493E3337"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5.56</w:t>
            </w:r>
          </w:p>
        </w:tc>
        <w:tc>
          <w:tcPr>
            <w:tcW w:w="500" w:type="dxa"/>
            <w:tcBorders>
              <w:top w:val="nil"/>
              <w:left w:val="nil"/>
              <w:bottom w:val="single" w:sz="4" w:space="0" w:color="auto"/>
              <w:right w:val="single" w:sz="4" w:space="0" w:color="auto"/>
            </w:tcBorders>
            <w:noWrap/>
            <w:vAlign w:val="center"/>
            <w:hideMark/>
          </w:tcPr>
          <w:p w14:paraId="723FA63C"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654.19</w:t>
            </w:r>
          </w:p>
        </w:tc>
        <w:tc>
          <w:tcPr>
            <w:tcW w:w="700" w:type="dxa"/>
            <w:tcBorders>
              <w:top w:val="nil"/>
              <w:left w:val="nil"/>
              <w:bottom w:val="single" w:sz="4" w:space="0" w:color="auto"/>
              <w:right w:val="single" w:sz="4" w:space="0" w:color="auto"/>
            </w:tcBorders>
            <w:noWrap/>
            <w:vAlign w:val="center"/>
            <w:hideMark/>
          </w:tcPr>
          <w:p w14:paraId="0ED94329"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327.09</w:t>
            </w:r>
          </w:p>
        </w:tc>
        <w:tc>
          <w:tcPr>
            <w:tcW w:w="920" w:type="dxa"/>
            <w:tcBorders>
              <w:top w:val="nil"/>
              <w:left w:val="nil"/>
              <w:bottom w:val="single" w:sz="4" w:space="0" w:color="auto"/>
              <w:right w:val="single" w:sz="4" w:space="0" w:color="auto"/>
            </w:tcBorders>
            <w:noWrap/>
            <w:vAlign w:val="center"/>
            <w:hideMark/>
          </w:tcPr>
          <w:p w14:paraId="3FF23D02"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$ 274,755.00 </w:t>
            </w:r>
          </w:p>
        </w:tc>
        <w:tc>
          <w:tcPr>
            <w:tcW w:w="1280" w:type="dxa"/>
            <w:tcBorders>
              <w:top w:val="nil"/>
              <w:left w:val="nil"/>
              <w:bottom w:val="single" w:sz="4" w:space="0" w:color="auto"/>
              <w:right w:val="single" w:sz="4" w:space="0" w:color="auto"/>
            </w:tcBorders>
            <w:noWrap/>
            <w:vAlign w:val="center"/>
            <w:hideMark/>
          </w:tcPr>
          <w:p w14:paraId="4B1B49A5"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89,870,931.77 </w:t>
            </w:r>
          </w:p>
        </w:tc>
      </w:tr>
      <w:tr w:rsidR="00365596" w:rsidRPr="00365596" w14:paraId="730DE295" w14:textId="77777777" w:rsidTr="00365596">
        <w:trPr>
          <w:trHeight w:val="336"/>
        </w:trPr>
        <w:tc>
          <w:tcPr>
            <w:tcW w:w="659" w:type="dxa"/>
            <w:tcBorders>
              <w:top w:val="nil"/>
              <w:left w:val="single" w:sz="4" w:space="0" w:color="auto"/>
              <w:bottom w:val="single" w:sz="4" w:space="0" w:color="auto"/>
              <w:right w:val="single" w:sz="4" w:space="0" w:color="auto"/>
            </w:tcBorders>
            <w:noWrap/>
            <w:vAlign w:val="center"/>
            <w:hideMark/>
          </w:tcPr>
          <w:p w14:paraId="2278655C"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14000543</w:t>
            </w:r>
          </w:p>
        </w:tc>
        <w:tc>
          <w:tcPr>
            <w:tcW w:w="519" w:type="dxa"/>
            <w:tcBorders>
              <w:top w:val="nil"/>
              <w:left w:val="nil"/>
              <w:bottom w:val="single" w:sz="4" w:space="0" w:color="auto"/>
              <w:right w:val="single" w:sz="4" w:space="0" w:color="auto"/>
            </w:tcBorders>
            <w:noWrap/>
            <w:vAlign w:val="center"/>
            <w:hideMark/>
          </w:tcPr>
          <w:p w14:paraId="7FD5518F"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183456</w:t>
            </w:r>
          </w:p>
        </w:tc>
        <w:tc>
          <w:tcPr>
            <w:tcW w:w="1139" w:type="dxa"/>
            <w:tcBorders>
              <w:top w:val="nil"/>
              <w:left w:val="nil"/>
              <w:bottom w:val="single" w:sz="4" w:space="0" w:color="auto"/>
              <w:right w:val="single" w:sz="4" w:space="0" w:color="auto"/>
            </w:tcBorders>
            <w:vAlign w:val="center"/>
            <w:hideMark/>
          </w:tcPr>
          <w:p w14:paraId="35A6E4AB"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MANTENIMIENTO PERIODICO</w:t>
            </w:r>
          </w:p>
        </w:tc>
        <w:tc>
          <w:tcPr>
            <w:tcW w:w="603" w:type="dxa"/>
            <w:tcBorders>
              <w:top w:val="nil"/>
              <w:left w:val="nil"/>
              <w:bottom w:val="single" w:sz="4" w:space="0" w:color="auto"/>
              <w:right w:val="single" w:sz="4" w:space="0" w:color="auto"/>
            </w:tcBorders>
            <w:noWrap/>
            <w:vAlign w:val="center"/>
            <w:hideMark/>
          </w:tcPr>
          <w:p w14:paraId="5E9F4890"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CLL 12B</w:t>
            </w:r>
          </w:p>
        </w:tc>
        <w:tc>
          <w:tcPr>
            <w:tcW w:w="660" w:type="dxa"/>
            <w:tcBorders>
              <w:top w:val="nil"/>
              <w:left w:val="nil"/>
              <w:bottom w:val="single" w:sz="4" w:space="0" w:color="auto"/>
              <w:right w:val="single" w:sz="4" w:space="0" w:color="auto"/>
            </w:tcBorders>
            <w:noWrap/>
            <w:vAlign w:val="center"/>
            <w:hideMark/>
          </w:tcPr>
          <w:p w14:paraId="1FAFB15A"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19A</w:t>
            </w:r>
          </w:p>
        </w:tc>
        <w:tc>
          <w:tcPr>
            <w:tcW w:w="600" w:type="dxa"/>
            <w:tcBorders>
              <w:top w:val="nil"/>
              <w:left w:val="nil"/>
              <w:bottom w:val="single" w:sz="4" w:space="0" w:color="auto"/>
              <w:right w:val="single" w:sz="4" w:space="0" w:color="auto"/>
            </w:tcBorders>
            <w:noWrap/>
            <w:vAlign w:val="center"/>
            <w:hideMark/>
          </w:tcPr>
          <w:p w14:paraId="323398E5"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CRA 19B</w:t>
            </w:r>
          </w:p>
        </w:tc>
        <w:tc>
          <w:tcPr>
            <w:tcW w:w="700" w:type="dxa"/>
            <w:tcBorders>
              <w:top w:val="nil"/>
              <w:left w:val="nil"/>
              <w:bottom w:val="single" w:sz="4" w:space="0" w:color="auto"/>
              <w:right w:val="single" w:sz="4" w:space="0" w:color="auto"/>
            </w:tcBorders>
            <w:noWrap/>
            <w:vAlign w:val="center"/>
            <w:hideMark/>
          </w:tcPr>
          <w:p w14:paraId="007D62CF"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65.94</w:t>
            </w:r>
          </w:p>
        </w:tc>
        <w:tc>
          <w:tcPr>
            <w:tcW w:w="480" w:type="dxa"/>
            <w:tcBorders>
              <w:top w:val="nil"/>
              <w:left w:val="nil"/>
              <w:bottom w:val="single" w:sz="4" w:space="0" w:color="auto"/>
              <w:right w:val="single" w:sz="4" w:space="0" w:color="auto"/>
            </w:tcBorders>
            <w:noWrap/>
            <w:vAlign w:val="center"/>
            <w:hideMark/>
          </w:tcPr>
          <w:p w14:paraId="65445BF7"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4.89</w:t>
            </w:r>
          </w:p>
        </w:tc>
        <w:tc>
          <w:tcPr>
            <w:tcW w:w="500" w:type="dxa"/>
            <w:tcBorders>
              <w:top w:val="nil"/>
              <w:left w:val="nil"/>
              <w:bottom w:val="single" w:sz="4" w:space="0" w:color="auto"/>
              <w:right w:val="single" w:sz="4" w:space="0" w:color="auto"/>
            </w:tcBorders>
            <w:noWrap/>
            <w:vAlign w:val="center"/>
            <w:hideMark/>
          </w:tcPr>
          <w:p w14:paraId="0A88F87D"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322.45</w:t>
            </w:r>
          </w:p>
        </w:tc>
        <w:tc>
          <w:tcPr>
            <w:tcW w:w="700" w:type="dxa"/>
            <w:tcBorders>
              <w:top w:val="nil"/>
              <w:left w:val="nil"/>
              <w:bottom w:val="single" w:sz="4" w:space="0" w:color="auto"/>
              <w:right w:val="single" w:sz="4" w:space="0" w:color="auto"/>
            </w:tcBorders>
            <w:noWrap/>
            <w:vAlign w:val="center"/>
            <w:hideMark/>
          </w:tcPr>
          <w:p w14:paraId="43B1859D"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111.72</w:t>
            </w:r>
          </w:p>
        </w:tc>
        <w:tc>
          <w:tcPr>
            <w:tcW w:w="920" w:type="dxa"/>
            <w:tcBorders>
              <w:top w:val="nil"/>
              <w:left w:val="nil"/>
              <w:bottom w:val="single" w:sz="4" w:space="0" w:color="auto"/>
              <w:right w:val="single" w:sz="4" w:space="0" w:color="auto"/>
            </w:tcBorders>
            <w:noWrap/>
            <w:vAlign w:val="center"/>
            <w:hideMark/>
          </w:tcPr>
          <w:p w14:paraId="0C5FA657"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$ 274,756.00 </w:t>
            </w:r>
          </w:p>
        </w:tc>
        <w:tc>
          <w:tcPr>
            <w:tcW w:w="1280" w:type="dxa"/>
            <w:tcBorders>
              <w:top w:val="nil"/>
              <w:left w:val="nil"/>
              <w:bottom w:val="single" w:sz="4" w:space="0" w:color="auto"/>
              <w:right w:val="single" w:sz="4" w:space="0" w:color="auto"/>
            </w:tcBorders>
            <w:noWrap/>
            <w:vAlign w:val="center"/>
            <w:hideMark/>
          </w:tcPr>
          <w:p w14:paraId="4C7D03F6"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30,694,816.39 </w:t>
            </w:r>
          </w:p>
        </w:tc>
      </w:tr>
      <w:tr w:rsidR="00365596" w:rsidRPr="00365596" w14:paraId="66C3E206" w14:textId="77777777" w:rsidTr="00365596">
        <w:trPr>
          <w:trHeight w:val="288"/>
        </w:trPr>
        <w:tc>
          <w:tcPr>
            <w:tcW w:w="659" w:type="dxa"/>
            <w:tcBorders>
              <w:top w:val="nil"/>
              <w:left w:val="single" w:sz="4" w:space="0" w:color="auto"/>
              <w:bottom w:val="single" w:sz="4" w:space="0" w:color="auto"/>
              <w:right w:val="single" w:sz="4" w:space="0" w:color="auto"/>
            </w:tcBorders>
            <w:noWrap/>
            <w:vAlign w:val="center"/>
            <w:hideMark/>
          </w:tcPr>
          <w:p w14:paraId="76BA75BF"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w:t>
            </w:r>
          </w:p>
        </w:tc>
        <w:tc>
          <w:tcPr>
            <w:tcW w:w="519" w:type="dxa"/>
            <w:tcBorders>
              <w:top w:val="nil"/>
              <w:left w:val="nil"/>
              <w:bottom w:val="single" w:sz="4" w:space="0" w:color="auto"/>
              <w:right w:val="single" w:sz="4" w:space="0" w:color="auto"/>
            </w:tcBorders>
            <w:noWrap/>
            <w:vAlign w:val="center"/>
            <w:hideMark/>
          </w:tcPr>
          <w:p w14:paraId="6A4417E5"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w:t>
            </w:r>
          </w:p>
        </w:tc>
        <w:tc>
          <w:tcPr>
            <w:tcW w:w="1139" w:type="dxa"/>
            <w:tcBorders>
              <w:top w:val="nil"/>
              <w:left w:val="nil"/>
              <w:bottom w:val="single" w:sz="4" w:space="0" w:color="auto"/>
              <w:right w:val="single" w:sz="4" w:space="0" w:color="auto"/>
            </w:tcBorders>
            <w:noWrap/>
            <w:vAlign w:val="center"/>
            <w:hideMark/>
          </w:tcPr>
          <w:p w14:paraId="5155A19A"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w:t>
            </w:r>
          </w:p>
        </w:tc>
        <w:tc>
          <w:tcPr>
            <w:tcW w:w="603" w:type="dxa"/>
            <w:tcBorders>
              <w:top w:val="nil"/>
              <w:left w:val="nil"/>
              <w:bottom w:val="single" w:sz="4" w:space="0" w:color="auto"/>
              <w:right w:val="single" w:sz="4" w:space="0" w:color="auto"/>
            </w:tcBorders>
            <w:noWrap/>
            <w:vAlign w:val="center"/>
            <w:hideMark/>
          </w:tcPr>
          <w:p w14:paraId="5D2582FC"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w:t>
            </w:r>
          </w:p>
        </w:tc>
        <w:tc>
          <w:tcPr>
            <w:tcW w:w="660" w:type="dxa"/>
            <w:tcBorders>
              <w:top w:val="nil"/>
              <w:left w:val="nil"/>
              <w:bottom w:val="single" w:sz="4" w:space="0" w:color="auto"/>
              <w:right w:val="single" w:sz="4" w:space="0" w:color="auto"/>
            </w:tcBorders>
            <w:noWrap/>
            <w:vAlign w:val="center"/>
            <w:hideMark/>
          </w:tcPr>
          <w:p w14:paraId="031EE8EC"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w:t>
            </w:r>
          </w:p>
        </w:tc>
        <w:tc>
          <w:tcPr>
            <w:tcW w:w="600" w:type="dxa"/>
            <w:tcBorders>
              <w:top w:val="nil"/>
              <w:left w:val="nil"/>
              <w:bottom w:val="single" w:sz="4" w:space="0" w:color="auto"/>
              <w:right w:val="single" w:sz="4" w:space="0" w:color="auto"/>
            </w:tcBorders>
            <w:noWrap/>
            <w:vAlign w:val="center"/>
            <w:hideMark/>
          </w:tcPr>
          <w:p w14:paraId="53DA6460"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w:t>
            </w:r>
          </w:p>
        </w:tc>
        <w:tc>
          <w:tcPr>
            <w:tcW w:w="700" w:type="dxa"/>
            <w:tcBorders>
              <w:top w:val="nil"/>
              <w:left w:val="nil"/>
              <w:bottom w:val="single" w:sz="4" w:space="0" w:color="auto"/>
              <w:right w:val="single" w:sz="4" w:space="0" w:color="auto"/>
            </w:tcBorders>
            <w:noWrap/>
            <w:vAlign w:val="center"/>
            <w:hideMark/>
          </w:tcPr>
          <w:p w14:paraId="7C498B05"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w:t>
            </w:r>
          </w:p>
        </w:tc>
        <w:tc>
          <w:tcPr>
            <w:tcW w:w="480" w:type="dxa"/>
            <w:tcBorders>
              <w:top w:val="nil"/>
              <w:left w:val="nil"/>
              <w:bottom w:val="single" w:sz="4" w:space="0" w:color="auto"/>
              <w:right w:val="single" w:sz="4" w:space="0" w:color="auto"/>
            </w:tcBorders>
            <w:noWrap/>
            <w:vAlign w:val="center"/>
            <w:hideMark/>
          </w:tcPr>
          <w:p w14:paraId="2C672EFC"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w:t>
            </w:r>
          </w:p>
        </w:tc>
        <w:tc>
          <w:tcPr>
            <w:tcW w:w="500" w:type="dxa"/>
            <w:tcBorders>
              <w:top w:val="nil"/>
              <w:left w:val="nil"/>
              <w:bottom w:val="single" w:sz="4" w:space="0" w:color="auto"/>
              <w:right w:val="single" w:sz="4" w:space="0" w:color="auto"/>
            </w:tcBorders>
            <w:noWrap/>
            <w:vAlign w:val="center"/>
            <w:hideMark/>
          </w:tcPr>
          <w:p w14:paraId="0D82503E"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w:t>
            </w:r>
          </w:p>
        </w:tc>
        <w:tc>
          <w:tcPr>
            <w:tcW w:w="700" w:type="dxa"/>
            <w:tcBorders>
              <w:top w:val="nil"/>
              <w:left w:val="nil"/>
              <w:bottom w:val="single" w:sz="4" w:space="0" w:color="auto"/>
              <w:right w:val="single" w:sz="4" w:space="0" w:color="auto"/>
            </w:tcBorders>
            <w:noWrap/>
            <w:vAlign w:val="center"/>
            <w:hideMark/>
          </w:tcPr>
          <w:p w14:paraId="5B4D1411"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w:t>
            </w:r>
          </w:p>
        </w:tc>
        <w:tc>
          <w:tcPr>
            <w:tcW w:w="920" w:type="dxa"/>
            <w:tcBorders>
              <w:top w:val="nil"/>
              <w:left w:val="nil"/>
              <w:bottom w:val="single" w:sz="4" w:space="0" w:color="auto"/>
              <w:right w:val="single" w:sz="4" w:space="0" w:color="auto"/>
            </w:tcBorders>
            <w:noWrap/>
            <w:vAlign w:val="center"/>
            <w:hideMark/>
          </w:tcPr>
          <w:p w14:paraId="3707BD33"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w:t>
            </w:r>
          </w:p>
        </w:tc>
        <w:tc>
          <w:tcPr>
            <w:tcW w:w="1280" w:type="dxa"/>
            <w:tcBorders>
              <w:top w:val="nil"/>
              <w:left w:val="nil"/>
              <w:bottom w:val="single" w:sz="4" w:space="0" w:color="auto"/>
              <w:right w:val="single" w:sz="4" w:space="0" w:color="auto"/>
            </w:tcBorders>
            <w:noWrap/>
            <w:vAlign w:val="center"/>
            <w:hideMark/>
          </w:tcPr>
          <w:p w14:paraId="3EF20C05" w14:textId="77777777" w:rsidR="00365596" w:rsidRPr="00365596" w:rsidRDefault="00365596" w:rsidP="00365596">
            <w:pPr>
              <w:spacing w:after="0" w:line="240" w:lineRule="auto"/>
              <w:jc w:val="center"/>
              <w:rPr>
                <w:rFonts w:ascii="Aptos Narrow" w:hAnsi="Aptos Narrow"/>
                <w:color w:val="000000"/>
                <w:sz w:val="12"/>
                <w:szCs w:val="12"/>
              </w:rPr>
            </w:pPr>
            <w:r w:rsidRPr="00365596">
              <w:rPr>
                <w:rFonts w:ascii="Aptos Narrow" w:hAnsi="Aptos Narrow"/>
                <w:color w:val="000000"/>
                <w:sz w:val="12"/>
                <w:szCs w:val="12"/>
              </w:rPr>
              <w:t xml:space="preserve"> $ 1,500,000,000.00 </w:t>
            </w:r>
          </w:p>
        </w:tc>
      </w:tr>
    </w:tbl>
    <w:p w14:paraId="6F0162AA" w14:textId="77777777" w:rsidR="00194494" w:rsidRDefault="00194494" w:rsidP="00323D77">
      <w:pPr>
        <w:spacing w:after="0" w:line="240" w:lineRule="auto"/>
        <w:rPr>
          <w:rFonts w:ascii="Garamond" w:eastAsia="Calibri" w:hAnsi="Garamond" w:cs="Arial"/>
        </w:rPr>
      </w:pPr>
    </w:p>
    <w:p w14:paraId="74E5CBE9" w14:textId="77777777" w:rsidR="00194494" w:rsidRDefault="00194494" w:rsidP="00323D77">
      <w:pPr>
        <w:spacing w:after="0" w:line="240" w:lineRule="auto"/>
        <w:rPr>
          <w:rFonts w:ascii="Garamond" w:eastAsia="Calibri" w:hAnsi="Garamond" w:cs="Arial"/>
        </w:rPr>
      </w:pPr>
    </w:p>
    <w:p w14:paraId="7BCAE517" w14:textId="77777777" w:rsidR="00194494" w:rsidRDefault="00194494" w:rsidP="00323D77">
      <w:pPr>
        <w:spacing w:after="0" w:line="240" w:lineRule="auto"/>
        <w:rPr>
          <w:rFonts w:ascii="Garamond" w:eastAsia="Calibri" w:hAnsi="Garamond" w:cs="Arial"/>
        </w:rPr>
      </w:pPr>
    </w:p>
    <w:p w14:paraId="0D2AAB9F" w14:textId="77777777" w:rsidR="00323D77" w:rsidRPr="006B15B7" w:rsidRDefault="00323D77" w:rsidP="00323D77">
      <w:pPr>
        <w:pBdr>
          <w:top w:val="nil"/>
          <w:left w:val="nil"/>
          <w:bottom w:val="nil"/>
          <w:right w:val="nil"/>
          <w:between w:val="nil"/>
        </w:pBdr>
        <w:spacing w:after="0" w:line="240" w:lineRule="auto"/>
        <w:rPr>
          <w:rFonts w:ascii="Garamond" w:eastAsia="Arial" w:hAnsi="Garamond" w:cstheme="majorHAnsi"/>
        </w:rPr>
      </w:pPr>
      <w:r w:rsidRPr="006B15B7">
        <w:rPr>
          <w:rFonts w:ascii="Garamond" w:eastAsia="Arial" w:hAnsi="Garamond" w:cstheme="majorHAnsi"/>
          <w:b/>
          <w:bCs/>
        </w:rPr>
        <w:t>Nota 1:</w:t>
      </w:r>
      <w:r w:rsidRPr="006B15B7">
        <w:rPr>
          <w:rFonts w:ascii="Garamond" w:eastAsia="Arial" w:hAnsi="Garamond" w:cstheme="majorHAnsi"/>
        </w:rPr>
        <w:t xml:space="preserve"> El valor estimado del convenio interadministrativo se encuentra debidamente soportado y justificado en el </w:t>
      </w:r>
      <w:r w:rsidRPr="004F610B">
        <w:rPr>
          <w:rFonts w:ascii="Garamond" w:eastAsia="Arial" w:hAnsi="Garamond" w:cstheme="majorHAnsi"/>
          <w:b/>
          <w:bCs/>
        </w:rPr>
        <w:t>análisis del sector y el estudio de mercado</w:t>
      </w:r>
      <w:r w:rsidRPr="006B15B7">
        <w:rPr>
          <w:rFonts w:ascii="Garamond" w:eastAsia="Arial" w:hAnsi="Garamond" w:cstheme="majorHAnsi"/>
        </w:rPr>
        <w:t>, el cual hace parte integral del presente documento</w:t>
      </w:r>
    </w:p>
    <w:p w14:paraId="3906A916" w14:textId="77777777" w:rsidR="00323D77" w:rsidRPr="006B15B7" w:rsidRDefault="00323D77" w:rsidP="00323D77">
      <w:pPr>
        <w:pBdr>
          <w:top w:val="nil"/>
          <w:left w:val="nil"/>
          <w:bottom w:val="nil"/>
          <w:right w:val="nil"/>
          <w:between w:val="nil"/>
        </w:pBdr>
        <w:spacing w:after="0" w:line="240" w:lineRule="auto"/>
        <w:rPr>
          <w:rFonts w:ascii="Garamond" w:eastAsia="Arial" w:hAnsi="Garamond" w:cstheme="majorHAnsi"/>
        </w:rPr>
      </w:pPr>
    </w:p>
    <w:p w14:paraId="4F917EEB" w14:textId="77777777" w:rsidR="00323D77" w:rsidRPr="006B15B7" w:rsidRDefault="00323D77" w:rsidP="00323D77">
      <w:pPr>
        <w:keepLines/>
        <w:widowControl w:val="0"/>
        <w:spacing w:before="240"/>
        <w:rPr>
          <w:rFonts w:ascii="Garamond" w:eastAsia="Arial" w:hAnsi="Garamond" w:cstheme="majorHAnsi"/>
        </w:rPr>
      </w:pPr>
      <w:r w:rsidRPr="006B15B7">
        <w:rPr>
          <w:rFonts w:ascii="Garamond" w:eastAsia="Arial" w:hAnsi="Garamond" w:cstheme="majorHAnsi"/>
          <w:b/>
          <w:bCs/>
        </w:rPr>
        <w:t>NOTA 2</w:t>
      </w:r>
      <w:r w:rsidRPr="006B15B7">
        <w:rPr>
          <w:rFonts w:ascii="Garamond" w:eastAsia="Arial" w:hAnsi="Garamond" w:cstheme="majorHAnsi"/>
        </w:rPr>
        <w:t xml:space="preserve">: </w:t>
      </w:r>
      <w:bookmarkStart w:id="1" w:name="OLE_LINK1"/>
      <w:r w:rsidRPr="006B15B7">
        <w:rPr>
          <w:rFonts w:ascii="Garamond" w:eastAsia="Arial" w:hAnsi="Garamond" w:cstheme="majorHAnsi"/>
        </w:rPr>
        <w:t>La UAERMV podrá apoyar con mayor recurso en especie, en los ítems presentes o en los que se requieran, si su presupuesto misional y capacidad operativa lo permiten, en caso de que se requiera durante la ejecución de las intervenciones. Lo anterior, para el cabal cumplimiento de los objetivos y metas del convenio.</w:t>
      </w:r>
      <w:bookmarkEnd w:id="1"/>
      <w:r w:rsidRPr="006B15B7">
        <w:rPr>
          <w:rFonts w:ascii="Garamond" w:eastAsia="Arial" w:hAnsi="Garamond" w:cstheme="majorHAnsi"/>
        </w:rPr>
        <w:t xml:space="preserve"> </w:t>
      </w:r>
    </w:p>
    <w:p w14:paraId="1BBED39E" w14:textId="77777777" w:rsidR="00323D77" w:rsidRPr="006B15B7" w:rsidRDefault="00323D77" w:rsidP="00323D77">
      <w:pPr>
        <w:pBdr>
          <w:top w:val="nil"/>
          <w:left w:val="nil"/>
          <w:bottom w:val="nil"/>
          <w:right w:val="nil"/>
          <w:between w:val="nil"/>
        </w:pBdr>
        <w:spacing w:after="0" w:line="240" w:lineRule="auto"/>
        <w:rPr>
          <w:rFonts w:ascii="Garamond" w:eastAsia="Arial" w:hAnsi="Garamond" w:cstheme="majorHAnsi"/>
        </w:rPr>
      </w:pPr>
    </w:p>
    <w:p w14:paraId="02C90A80" w14:textId="77777777" w:rsidR="00323D77" w:rsidRPr="006B15B7" w:rsidRDefault="00323D77" w:rsidP="00323D77">
      <w:pPr>
        <w:rPr>
          <w:rFonts w:ascii="Garamond" w:eastAsia="Arial" w:hAnsi="Garamond" w:cstheme="majorHAnsi"/>
        </w:rPr>
      </w:pPr>
      <w:r w:rsidRPr="006B15B7">
        <w:rPr>
          <w:rFonts w:ascii="Garamond" w:eastAsia="Arial" w:hAnsi="Garamond" w:cstheme="majorHAnsi"/>
          <w:b/>
          <w:bCs/>
        </w:rPr>
        <w:t>NOTA 3</w:t>
      </w:r>
      <w:r w:rsidRPr="006B15B7">
        <w:rPr>
          <w:rFonts w:ascii="Garamond" w:eastAsia="Arial" w:hAnsi="Garamond" w:cstheme="majorHAnsi"/>
        </w:rPr>
        <w:t xml:space="preserve">: En el evento en que se ejecuten actividades o valores mayores o menores a los establecidos en la formulación del proyecto y en la propuesta de la UAERMV se cancelaran únicamente los valores ejecutados con soportes. </w:t>
      </w:r>
    </w:p>
    <w:p w14:paraId="75A48984" w14:textId="36757BC0" w:rsidR="00323D77" w:rsidRDefault="00323D77" w:rsidP="00323D77">
      <w:pPr>
        <w:spacing w:before="324" w:after="432"/>
        <w:ind w:right="49"/>
        <w:rPr>
          <w:rFonts w:ascii="Garamond" w:eastAsia="Arial" w:hAnsi="Garamond" w:cstheme="majorHAnsi"/>
        </w:rPr>
      </w:pPr>
      <w:r w:rsidRPr="006B15B7">
        <w:rPr>
          <w:rFonts w:ascii="Garamond" w:eastAsia="Arial" w:hAnsi="Garamond" w:cstheme="majorHAnsi"/>
          <w:b/>
          <w:bCs/>
        </w:rPr>
        <w:t>NOTA 4</w:t>
      </w:r>
      <w:r w:rsidRPr="006B15B7">
        <w:rPr>
          <w:rFonts w:ascii="Garamond" w:eastAsia="Arial" w:hAnsi="Garamond" w:cstheme="majorHAnsi"/>
        </w:rPr>
        <w:t>: Dicho presupuesto se estimó con las áreas y metros lineales establecidos en el momento del diagnóstico elaborado por la UAERMV, no obstante, las áreas que se conciliarán o descontarán del presupuesto serán las que efectivamente se ejecuten, hasta agotar el presupuesto, lo cual puede llegar a que al final del balance de ejecución se ejecuten un mayor o menor número de segmentos viales de los inicialmente proyectados, sin que esto lleve a ningún incumplimiento para ninguna de las partes</w:t>
      </w:r>
      <w:r w:rsidR="00F22FCB">
        <w:rPr>
          <w:rFonts w:ascii="Garamond" w:eastAsia="Arial" w:hAnsi="Garamond" w:cstheme="majorHAnsi"/>
        </w:rPr>
        <w:t>.</w:t>
      </w:r>
    </w:p>
    <w:p w14:paraId="33799A01" w14:textId="66382607" w:rsidR="00F22FCB" w:rsidRPr="006B15B7" w:rsidRDefault="00F22FCB" w:rsidP="00323D77">
      <w:pPr>
        <w:spacing w:before="324" w:after="432"/>
        <w:ind w:right="49"/>
        <w:rPr>
          <w:rFonts w:ascii="Garamond" w:eastAsia="Arial" w:hAnsi="Garamond" w:cstheme="majorHAnsi"/>
        </w:rPr>
      </w:pPr>
      <w:r w:rsidRPr="00F22FCB">
        <w:rPr>
          <w:rFonts w:ascii="Garamond" w:eastAsia="Arial" w:hAnsi="Garamond" w:cstheme="majorHAnsi"/>
          <w:b/>
          <w:bCs/>
        </w:rPr>
        <w:t>NOTA 5:</w:t>
      </w:r>
      <w:r w:rsidRPr="00F22FCB">
        <w:rPr>
          <w:rFonts w:ascii="Garamond" w:eastAsia="Arial" w:hAnsi="Garamond" w:cstheme="majorHAnsi"/>
        </w:rPr>
        <w:t xml:space="preserve"> En el caso de que alguno de los segmentos priorizados en el convenio, sean objeto de intervención o reserva por parte de otra entidad del distrito o cualquier otra circunstancian que imposibilite su intervención en el desarrollo del convenio, se procederá a modificar y/o incluir otros segmentos previa recomendación del comité Técnico para la aprobación de la supervisión de la UAERMV y FDLT. sin que esto lleve a ningún incumplimiento para ninguna de las partes</w:t>
      </w:r>
    </w:p>
    <w:p w14:paraId="443C95ED" w14:textId="05A48BAE" w:rsidR="00323D77" w:rsidRDefault="00323D77" w:rsidP="00323D77">
      <w:pPr>
        <w:pBdr>
          <w:top w:val="nil"/>
          <w:left w:val="nil"/>
          <w:bottom w:val="nil"/>
          <w:right w:val="nil"/>
          <w:between w:val="nil"/>
        </w:pBdr>
        <w:spacing w:after="0" w:line="240" w:lineRule="auto"/>
        <w:rPr>
          <w:rFonts w:ascii="Garamond" w:eastAsia="Calibri" w:hAnsi="Garamond" w:cstheme="majorHAnsi"/>
        </w:rPr>
      </w:pPr>
      <w:r w:rsidRPr="006E74A5">
        <w:rPr>
          <w:rFonts w:ascii="Garamond" w:eastAsia="Calibri" w:hAnsi="Garamond" w:cstheme="majorHAnsi"/>
        </w:rPr>
        <w:t>T</w:t>
      </w:r>
      <w:r w:rsidRPr="003F5CC9">
        <w:rPr>
          <w:rFonts w:ascii="Garamond" w:eastAsia="Calibri" w:hAnsi="Garamond" w:cstheme="majorHAnsi"/>
        </w:rPr>
        <w:t>anto la planeación como las intervenciones de los elementos del Espacio Público para la Movilidad (Espacio Público para la Movilidad - EPM), se harán conjuntamente entre el Fondo de Desarrollo Local de</w:t>
      </w:r>
      <w:r>
        <w:rPr>
          <w:rFonts w:ascii="Garamond" w:eastAsia="Calibri" w:hAnsi="Garamond" w:cstheme="majorHAnsi"/>
        </w:rPr>
        <w:t xml:space="preserve"> </w:t>
      </w:r>
      <w:r w:rsidR="00F323CB">
        <w:rPr>
          <w:rFonts w:ascii="Garamond" w:eastAsia="Calibri" w:hAnsi="Garamond" w:cstheme="majorHAnsi"/>
        </w:rPr>
        <w:t xml:space="preserve">Los </w:t>
      </w:r>
      <w:r w:rsidR="00380A04">
        <w:rPr>
          <w:rFonts w:ascii="Garamond" w:eastAsia="Calibri" w:hAnsi="Garamond" w:cstheme="majorHAnsi"/>
        </w:rPr>
        <w:t>Mártires</w:t>
      </w:r>
      <w:r>
        <w:rPr>
          <w:rFonts w:ascii="Garamond" w:eastAsia="Calibri" w:hAnsi="Garamond" w:cstheme="majorHAnsi"/>
        </w:rPr>
        <w:t xml:space="preserve"> (</w:t>
      </w:r>
      <w:r w:rsidR="00F323CB">
        <w:rPr>
          <w:rFonts w:ascii="Garamond" w:eastAsia="Calibri" w:hAnsi="Garamond" w:cstheme="majorHAnsi"/>
        </w:rPr>
        <w:t>FDLM</w:t>
      </w:r>
      <w:r w:rsidRPr="003F5CC9">
        <w:rPr>
          <w:rFonts w:ascii="Garamond" w:eastAsia="Calibri" w:hAnsi="Garamond" w:cstheme="majorHAnsi"/>
        </w:rPr>
        <w:t>) y la Unidad Administrativa Especial de Rehabilitación y Mantenimiento Vial (UAERMV), el seguimiento de las obras estará a cargo del Comité Técnico Operativo (CTO), buscando:</w:t>
      </w:r>
    </w:p>
    <w:p w14:paraId="63507126" w14:textId="77777777" w:rsidR="00323D77" w:rsidRPr="003F5CC9" w:rsidRDefault="00323D77" w:rsidP="00323D77">
      <w:pPr>
        <w:pBdr>
          <w:top w:val="nil"/>
          <w:left w:val="nil"/>
          <w:bottom w:val="nil"/>
          <w:right w:val="nil"/>
          <w:between w:val="nil"/>
        </w:pBdr>
        <w:spacing w:after="0" w:line="240" w:lineRule="auto"/>
        <w:rPr>
          <w:rFonts w:ascii="Garamond" w:eastAsia="Calibri" w:hAnsi="Garamond" w:cstheme="majorHAnsi"/>
        </w:rPr>
      </w:pPr>
      <w:r w:rsidRPr="003F5CC9">
        <w:rPr>
          <w:rFonts w:ascii="Garamond" w:eastAsia="Calibri" w:hAnsi="Garamond" w:cstheme="majorHAnsi"/>
        </w:rPr>
        <w:t xml:space="preserve"> </w:t>
      </w:r>
    </w:p>
    <w:p w14:paraId="2011A6A8" w14:textId="6DB9966A" w:rsidR="00323D77" w:rsidRDefault="00323D77" w:rsidP="00323D77">
      <w:pPr>
        <w:pStyle w:val="Prrafodelista"/>
        <w:numPr>
          <w:ilvl w:val="0"/>
          <w:numId w:val="34"/>
        </w:numPr>
        <w:pBdr>
          <w:top w:val="nil"/>
          <w:left w:val="nil"/>
          <w:bottom w:val="nil"/>
          <w:right w:val="nil"/>
          <w:between w:val="nil"/>
        </w:pBdr>
        <w:tabs>
          <w:tab w:val="left" w:pos="2072"/>
        </w:tabs>
        <w:autoSpaceDE w:val="0"/>
        <w:autoSpaceDN w:val="0"/>
        <w:adjustRightInd w:val="0"/>
        <w:spacing w:after="0" w:line="240" w:lineRule="auto"/>
        <w:ind w:left="720"/>
        <w:rPr>
          <w:rFonts w:ascii="Garamond" w:eastAsia="Calibri" w:hAnsi="Garamond" w:cstheme="majorHAnsi"/>
        </w:rPr>
      </w:pPr>
      <w:r w:rsidRPr="006E74A5">
        <w:rPr>
          <w:rFonts w:ascii="Garamond" w:eastAsia="Calibri" w:hAnsi="Garamond" w:cstheme="majorHAnsi"/>
        </w:rPr>
        <w:t xml:space="preserve">Atender y diagnosticar, los elementos priorizados por el </w:t>
      </w:r>
      <w:r w:rsidR="00F323CB">
        <w:rPr>
          <w:rFonts w:ascii="Garamond" w:eastAsia="Calibri" w:hAnsi="Garamond" w:cstheme="majorHAnsi"/>
        </w:rPr>
        <w:t>FDLM</w:t>
      </w:r>
      <w:r w:rsidRPr="006E74A5">
        <w:rPr>
          <w:rFonts w:ascii="Garamond" w:eastAsia="Calibri" w:hAnsi="Garamond" w:cstheme="majorHAnsi"/>
        </w:rPr>
        <w:t xml:space="preserve"> y que no están incorporados en otros procesos de contratación.</w:t>
      </w:r>
    </w:p>
    <w:p w14:paraId="60334B6D" w14:textId="77777777" w:rsidR="00323D77" w:rsidRPr="006E74A5" w:rsidRDefault="00323D77" w:rsidP="00323D77">
      <w:pPr>
        <w:pStyle w:val="Prrafodelista"/>
        <w:pBdr>
          <w:top w:val="nil"/>
          <w:left w:val="nil"/>
          <w:bottom w:val="nil"/>
          <w:right w:val="nil"/>
          <w:between w:val="nil"/>
        </w:pBdr>
        <w:tabs>
          <w:tab w:val="left" w:pos="2072"/>
        </w:tabs>
        <w:autoSpaceDE w:val="0"/>
        <w:autoSpaceDN w:val="0"/>
        <w:adjustRightInd w:val="0"/>
        <w:spacing w:after="0" w:line="240" w:lineRule="auto"/>
        <w:rPr>
          <w:rFonts w:ascii="Garamond" w:eastAsia="Calibri" w:hAnsi="Garamond" w:cstheme="majorHAnsi"/>
        </w:rPr>
      </w:pPr>
    </w:p>
    <w:p w14:paraId="2AE190FB" w14:textId="77777777" w:rsidR="00323D77" w:rsidRPr="006E74A5" w:rsidRDefault="00323D77" w:rsidP="00323D77">
      <w:pPr>
        <w:pStyle w:val="Prrafodelista"/>
        <w:numPr>
          <w:ilvl w:val="0"/>
          <w:numId w:val="34"/>
        </w:numPr>
        <w:pBdr>
          <w:top w:val="nil"/>
          <w:left w:val="nil"/>
          <w:bottom w:val="nil"/>
          <w:right w:val="nil"/>
          <w:between w:val="nil"/>
        </w:pBdr>
        <w:tabs>
          <w:tab w:val="left" w:pos="2072"/>
        </w:tabs>
        <w:autoSpaceDE w:val="0"/>
        <w:autoSpaceDN w:val="0"/>
        <w:adjustRightInd w:val="0"/>
        <w:spacing w:after="0" w:line="240" w:lineRule="auto"/>
        <w:ind w:left="720"/>
        <w:rPr>
          <w:rFonts w:ascii="Garamond" w:eastAsia="Calibri" w:hAnsi="Garamond" w:cstheme="majorHAnsi"/>
        </w:rPr>
      </w:pPr>
      <w:r w:rsidRPr="006E74A5">
        <w:rPr>
          <w:rFonts w:ascii="Garamond" w:eastAsia="Calibri" w:hAnsi="Garamond" w:cstheme="majorHAnsi"/>
        </w:rPr>
        <w:t xml:space="preserve">Asegurar la atención a los diferentes elementos del Espacio Público para la Movilidad -  EPM, en los cuales se hayan identificado condiciones de servicio inseguras para los </w:t>
      </w:r>
      <w:r w:rsidRPr="006E74A5">
        <w:rPr>
          <w:rFonts w:ascii="Garamond" w:eastAsia="Calibri" w:hAnsi="Garamond" w:cstheme="majorHAnsi"/>
          <w:b/>
        </w:rPr>
        <w:t>usuarios más vulnerables</w:t>
      </w:r>
      <w:r w:rsidRPr="006E74A5">
        <w:rPr>
          <w:rFonts w:ascii="Garamond" w:eastAsia="Calibri" w:hAnsi="Garamond" w:cstheme="majorHAnsi"/>
        </w:rPr>
        <w:t xml:space="preserve"> según las la jerarquía de las personas usuarias del Espacio Público para la Movilidad -  EPM, para lo cual se podrán realizar o tener en cuenta mediciones de tránsito, estadísticas de siniestros viales y demás información de que se disponga o que pueda obtenerse y también con la aplicación de estrategias del Sistema de Movilidad (Decreto 555 de 2021-art. 93).</w:t>
      </w:r>
    </w:p>
    <w:p w14:paraId="58BADDF6" w14:textId="77777777" w:rsidR="00954733" w:rsidRPr="00AA11ED" w:rsidRDefault="00954733" w:rsidP="00954733">
      <w:pPr>
        <w:jc w:val="center"/>
        <w:rPr>
          <w:rFonts w:ascii="Garamond" w:hAnsi="Garamond"/>
          <w:b/>
          <w:lang w:val="es-ES"/>
        </w:rPr>
      </w:pPr>
    </w:p>
    <w:p w14:paraId="11E34323" w14:textId="74CD8B15" w:rsidR="004F78C8" w:rsidRDefault="004F78C8" w:rsidP="004F78C8">
      <w:pPr>
        <w:pStyle w:val="Prrafodelista"/>
        <w:numPr>
          <w:ilvl w:val="0"/>
          <w:numId w:val="3"/>
        </w:numPr>
        <w:rPr>
          <w:rFonts w:ascii="Garamond" w:hAnsi="Garamond"/>
          <w:b/>
          <w:lang w:val="es-ES"/>
        </w:rPr>
      </w:pPr>
      <w:r w:rsidRPr="00AA11ED">
        <w:rPr>
          <w:rFonts w:ascii="Garamond" w:hAnsi="Garamond"/>
          <w:b/>
          <w:lang w:val="es-ES"/>
        </w:rPr>
        <w:t xml:space="preserve">PLAZO PARA LA </w:t>
      </w:r>
      <w:r w:rsidR="00D82C3D" w:rsidRPr="00AA11ED">
        <w:rPr>
          <w:rFonts w:ascii="Garamond" w:hAnsi="Garamond"/>
          <w:b/>
          <w:lang w:val="es-ES"/>
        </w:rPr>
        <w:t>EJECUCIÓN</w:t>
      </w:r>
      <w:r w:rsidRPr="00AA11ED">
        <w:rPr>
          <w:rFonts w:ascii="Garamond" w:hAnsi="Garamond"/>
          <w:b/>
          <w:lang w:val="es-ES"/>
        </w:rPr>
        <w:t xml:space="preserve"> DEL CON</w:t>
      </w:r>
      <w:r w:rsidR="00EB2F4B">
        <w:rPr>
          <w:rFonts w:ascii="Garamond" w:hAnsi="Garamond"/>
          <w:b/>
          <w:lang w:val="es-ES"/>
        </w:rPr>
        <w:t>VENIO</w:t>
      </w:r>
    </w:p>
    <w:p w14:paraId="2F1D865E" w14:textId="77777777" w:rsidR="00EB2F4B" w:rsidRDefault="00EB2F4B" w:rsidP="00EB2F4B">
      <w:pPr>
        <w:pStyle w:val="Prrafodelista"/>
        <w:tabs>
          <w:tab w:val="left" w:pos="993"/>
        </w:tabs>
        <w:spacing w:after="0" w:line="240" w:lineRule="auto"/>
        <w:ind w:right="49"/>
        <w:rPr>
          <w:rFonts w:ascii="Garamond" w:hAnsi="Garamond" w:cs="Arial"/>
        </w:rPr>
      </w:pPr>
    </w:p>
    <w:p w14:paraId="23C826D9" w14:textId="2A3CEB99" w:rsidR="00EB2F4B" w:rsidRPr="00EB2F4B" w:rsidRDefault="00EB2F4B" w:rsidP="00EB2F4B">
      <w:pPr>
        <w:pStyle w:val="Prrafodelista"/>
        <w:tabs>
          <w:tab w:val="left" w:pos="993"/>
        </w:tabs>
        <w:spacing w:after="0" w:line="240" w:lineRule="auto"/>
        <w:ind w:right="49"/>
        <w:rPr>
          <w:rFonts w:ascii="Garamond" w:hAnsi="Garamond" w:cs="Arial"/>
        </w:rPr>
      </w:pPr>
      <w:r w:rsidRPr="00EB2F4B">
        <w:rPr>
          <w:rFonts w:ascii="Garamond" w:hAnsi="Garamond" w:cs="Arial"/>
        </w:rPr>
        <w:t>El plazo del convenio es de doce (12) meses</w:t>
      </w:r>
    </w:p>
    <w:p w14:paraId="508715E4" w14:textId="77777777" w:rsidR="00EB2F4B" w:rsidRPr="00EB2F4B" w:rsidRDefault="00EB2F4B" w:rsidP="00EB2F4B">
      <w:pPr>
        <w:pStyle w:val="Prrafodelista"/>
        <w:tabs>
          <w:tab w:val="left" w:pos="993"/>
        </w:tabs>
        <w:spacing w:after="0" w:line="240" w:lineRule="auto"/>
        <w:ind w:right="49"/>
        <w:rPr>
          <w:rFonts w:ascii="Garamond" w:hAnsi="Garamond" w:cs="Arial"/>
        </w:rPr>
      </w:pPr>
    </w:p>
    <w:p w14:paraId="695FBB78" w14:textId="77777777" w:rsidR="00EB2F4B" w:rsidRPr="00EB2F4B" w:rsidRDefault="00EB2F4B" w:rsidP="00EB2F4B">
      <w:pPr>
        <w:pStyle w:val="Prrafodelista"/>
        <w:tabs>
          <w:tab w:val="left" w:pos="993"/>
        </w:tabs>
        <w:spacing w:after="0" w:line="240" w:lineRule="auto"/>
        <w:ind w:right="49"/>
        <w:rPr>
          <w:rFonts w:ascii="Garamond" w:hAnsi="Garamond" w:cs="Arial"/>
        </w:rPr>
      </w:pPr>
      <w:r w:rsidRPr="003A0B44">
        <w:rPr>
          <w:noProof/>
        </w:rPr>
        <w:lastRenderedPageBreak/>
        <w:drawing>
          <wp:inline distT="0" distB="0" distL="0" distR="0" wp14:anchorId="3EC72CC2" wp14:editId="7A0CD608">
            <wp:extent cx="5400136" cy="2475215"/>
            <wp:effectExtent l="0" t="0" r="0" b="1905"/>
            <wp:docPr id="15604455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445596" name=""/>
                    <pic:cNvPicPr/>
                  </pic:nvPicPr>
                  <pic:blipFill>
                    <a:blip r:embed="rId17"/>
                    <a:stretch>
                      <a:fillRect/>
                    </a:stretch>
                  </pic:blipFill>
                  <pic:spPr>
                    <a:xfrm>
                      <a:off x="0" y="0"/>
                      <a:ext cx="5428518" cy="2488224"/>
                    </a:xfrm>
                    <a:prstGeom prst="rect">
                      <a:avLst/>
                    </a:prstGeom>
                  </pic:spPr>
                </pic:pic>
              </a:graphicData>
            </a:graphic>
          </wp:inline>
        </w:drawing>
      </w:r>
    </w:p>
    <w:p w14:paraId="18A7DD29" w14:textId="77777777" w:rsidR="00EB2F4B" w:rsidRDefault="00EB2F4B" w:rsidP="00EB2F4B">
      <w:pPr>
        <w:pStyle w:val="Descripcin"/>
        <w:spacing w:after="0"/>
        <w:ind w:left="720"/>
        <w:rPr>
          <w:rFonts w:ascii="Garamond" w:hAnsi="Garamond"/>
          <w:b/>
          <w:bCs/>
          <w:sz w:val="22"/>
          <w:szCs w:val="22"/>
        </w:rPr>
      </w:pPr>
      <w:bookmarkStart w:id="2" w:name="_Toc172295927"/>
      <w:r w:rsidRPr="006E74A5">
        <w:rPr>
          <w:rFonts w:ascii="Garamond" w:hAnsi="Garamond"/>
          <w:sz w:val="22"/>
          <w:szCs w:val="22"/>
        </w:rPr>
        <w:t xml:space="preserve">Tabla </w:t>
      </w:r>
      <w:r w:rsidRPr="006E74A5">
        <w:rPr>
          <w:rFonts w:ascii="Garamond" w:hAnsi="Garamond"/>
          <w:sz w:val="22"/>
          <w:szCs w:val="22"/>
        </w:rPr>
        <w:fldChar w:fldCharType="begin"/>
      </w:r>
      <w:r w:rsidRPr="006E74A5">
        <w:rPr>
          <w:rFonts w:ascii="Garamond" w:hAnsi="Garamond"/>
          <w:sz w:val="22"/>
          <w:szCs w:val="22"/>
        </w:rPr>
        <w:instrText xml:space="preserve"> SEQ Tabla \* ARABIC </w:instrText>
      </w:r>
      <w:r w:rsidRPr="006E74A5">
        <w:rPr>
          <w:rFonts w:ascii="Garamond" w:hAnsi="Garamond"/>
          <w:sz w:val="22"/>
          <w:szCs w:val="22"/>
        </w:rPr>
        <w:fldChar w:fldCharType="separate"/>
      </w:r>
      <w:r w:rsidRPr="006E74A5">
        <w:rPr>
          <w:rFonts w:ascii="Garamond" w:hAnsi="Garamond"/>
          <w:noProof/>
          <w:sz w:val="22"/>
          <w:szCs w:val="22"/>
        </w:rPr>
        <w:t>10</w:t>
      </w:r>
      <w:r w:rsidRPr="006E74A5">
        <w:rPr>
          <w:rFonts w:ascii="Garamond" w:hAnsi="Garamond"/>
          <w:sz w:val="22"/>
          <w:szCs w:val="22"/>
        </w:rPr>
        <w:fldChar w:fldCharType="end"/>
      </w:r>
      <w:r w:rsidRPr="006E74A5">
        <w:rPr>
          <w:rFonts w:ascii="Garamond" w:hAnsi="Garamond"/>
          <w:sz w:val="22"/>
          <w:szCs w:val="22"/>
        </w:rPr>
        <w:t xml:space="preserve"> Cronograma Convenio</w:t>
      </w:r>
      <w:bookmarkEnd w:id="2"/>
    </w:p>
    <w:p w14:paraId="03D230F4" w14:textId="77777777" w:rsidR="00F22FCB" w:rsidRDefault="00F22FCB" w:rsidP="00F22FCB">
      <w:pPr>
        <w:ind w:left="567"/>
        <w:rPr>
          <w:rFonts w:ascii="Garamond" w:eastAsia="Calibri" w:hAnsi="Garamond" w:cstheme="majorHAnsi"/>
        </w:rPr>
      </w:pPr>
    </w:p>
    <w:p w14:paraId="7EE1F04F" w14:textId="2E12018C" w:rsidR="00F22FCB" w:rsidRPr="00524E4B" w:rsidRDefault="00F22FCB" w:rsidP="00F22FCB">
      <w:pPr>
        <w:ind w:left="567"/>
        <w:rPr>
          <w:rFonts w:ascii="Garamond" w:eastAsia="Calibri" w:hAnsi="Garamond" w:cstheme="majorHAnsi"/>
        </w:rPr>
      </w:pPr>
      <w:r w:rsidRPr="00524E4B">
        <w:rPr>
          <w:rFonts w:ascii="Garamond" w:eastAsia="Calibri" w:hAnsi="Garamond" w:cstheme="majorHAnsi"/>
        </w:rPr>
        <w:t>El tiempo de ejecución de la obra está programado para un total de (12) doce meses. Durante los primeros (3.5) tres meses y medio se llevará a cabo la gestión de recursos y la tramitación de los permisos requeridos ante las entidades competentes. En los (8.5) ocho y medio meses siguientes, se realizará la ejecución física de las obras.</w:t>
      </w:r>
    </w:p>
    <w:p w14:paraId="393103FD" w14:textId="77777777" w:rsidR="00F22FCB" w:rsidRDefault="00F22FCB" w:rsidP="00F22FCB">
      <w:pPr>
        <w:spacing w:after="0" w:line="240" w:lineRule="auto"/>
        <w:ind w:left="567"/>
        <w:rPr>
          <w:rFonts w:ascii="Garamond" w:hAnsi="Garamond"/>
          <w:lang w:val="es-ES" w:eastAsia="en-US"/>
        </w:rPr>
      </w:pPr>
      <w:r w:rsidRPr="00524E4B">
        <w:rPr>
          <w:rFonts w:ascii="Garamond" w:hAnsi="Garamond"/>
          <w:b/>
          <w:bCs/>
          <w:lang w:val="es-ES" w:eastAsia="en-US"/>
        </w:rPr>
        <w:t>Nota</w:t>
      </w:r>
      <w:proofErr w:type="gramStart"/>
      <w:r>
        <w:rPr>
          <w:rFonts w:ascii="Garamond" w:hAnsi="Garamond"/>
          <w:b/>
          <w:bCs/>
          <w:lang w:val="es-ES" w:eastAsia="en-US"/>
        </w:rPr>
        <w:t xml:space="preserve">1 </w:t>
      </w:r>
      <w:r w:rsidRPr="00524E4B">
        <w:rPr>
          <w:rFonts w:ascii="Garamond" w:hAnsi="Garamond"/>
          <w:lang w:val="es-ES" w:eastAsia="en-US"/>
        </w:rPr>
        <w:t>:</w:t>
      </w:r>
      <w:proofErr w:type="gramEnd"/>
      <w:r w:rsidRPr="00524E4B">
        <w:rPr>
          <w:rFonts w:ascii="Garamond" w:hAnsi="Garamond"/>
          <w:lang w:val="es-ES" w:eastAsia="en-US"/>
        </w:rPr>
        <w:t xml:space="preserve"> En el desarrollo del presente convenio se podrá ajustar el plazo de las etapas atendiendo los diferentes trámites administrativos previo a la ejecución de las obras</w:t>
      </w:r>
    </w:p>
    <w:p w14:paraId="2872CCAA" w14:textId="77777777" w:rsidR="00F22FCB" w:rsidRDefault="00F22FCB" w:rsidP="00F22FCB">
      <w:pPr>
        <w:spacing w:after="0" w:line="240" w:lineRule="auto"/>
        <w:rPr>
          <w:rFonts w:ascii="Garamond" w:hAnsi="Garamond"/>
          <w:lang w:val="es-ES" w:eastAsia="en-US"/>
        </w:rPr>
      </w:pPr>
    </w:p>
    <w:p w14:paraId="572261BC" w14:textId="77777777" w:rsidR="00F22FCB" w:rsidRPr="00F22FCB" w:rsidRDefault="00F22FCB" w:rsidP="00F22FCB">
      <w:pPr>
        <w:pStyle w:val="Standard"/>
        <w:ind w:left="284"/>
        <w:jc w:val="both"/>
        <w:rPr>
          <w:rFonts w:ascii="Garamond" w:hAnsi="Garamond"/>
          <w:kern w:val="0"/>
          <w:szCs w:val="22"/>
          <w:lang w:val="es-ES" w:eastAsia="en-US"/>
        </w:rPr>
      </w:pPr>
      <w:r w:rsidRPr="00F22FCB">
        <w:rPr>
          <w:rFonts w:ascii="Garamond" w:hAnsi="Garamond"/>
          <w:kern w:val="0"/>
          <w:szCs w:val="22"/>
          <w:lang w:val="es-ES" w:eastAsia="en-US"/>
        </w:rPr>
        <w:t>Nota 2: La apropiación de los recursos por parte de la UAERMV se deberá desarrollar de acuerdo a lo establecido en el Acuerdo 940 de 2024 “ Por el cual se expide el Presupuesto Anual de Rentas e Ingresos y de Gastos e Inversiones de Bogotá, Distrito Capital para la vigencia fiscal comprendida entre el 1 de enero y el 31 de diciembre de 2025 y se dictan otras disposiciones” en el cual de acuerdo con el ARTÍCULO 28.- AJUSTES PRESUPUESTALES POR CONVENIOS Y/O CONTRATOS INTERADMINISTRATIVOS ENTRE ENTIDADES DISTRITALES. Cuando las entidades de la Administración Central, los Establecimientos Públicos, las Unidades Administrativas Especiales con Personería Jurídica, el Concejo de Bogotá D.C., la Veeduría Distrital, la Personería de Bogotá D.C., la Contraloría de Bogotá D.C., el Ente Autónomo Universitario, los Fondos de Desarrollo Local, las Empresas Industriales y Comerciales del Distrito y las Subredes Integradas de Servicios de Salud - ESE celebren convenios y/o contratos interadministrativos entre sí que afecten sus presupuestos, se efectuarán los ajustes mediante resolución del/a Jefe/a del organismo respectivo o por Acuerdo de sus Juntas o Consejos Directivos o por Decreto del Alcalde Local en los casos a que a ello hubiere lugar, previos los conceptos requeridos por la Secretaría Distrital de Hacienda.</w:t>
      </w:r>
    </w:p>
    <w:p w14:paraId="5D0C4A2D" w14:textId="77777777" w:rsidR="00F22FCB" w:rsidRPr="00F22FCB" w:rsidRDefault="00F22FCB" w:rsidP="00F22FCB">
      <w:pPr>
        <w:pStyle w:val="Standard"/>
        <w:ind w:left="284"/>
        <w:jc w:val="both"/>
        <w:rPr>
          <w:rFonts w:ascii="Garamond" w:hAnsi="Garamond"/>
          <w:kern w:val="0"/>
          <w:szCs w:val="22"/>
          <w:lang w:val="es-ES" w:eastAsia="en-US"/>
        </w:rPr>
      </w:pPr>
      <w:r w:rsidRPr="00F22FCB">
        <w:rPr>
          <w:rFonts w:ascii="Garamond" w:hAnsi="Garamond"/>
          <w:kern w:val="0"/>
          <w:szCs w:val="22"/>
          <w:lang w:val="es-ES" w:eastAsia="en-US"/>
        </w:rPr>
        <w:t> </w:t>
      </w:r>
    </w:p>
    <w:p w14:paraId="3B869B3B" w14:textId="77777777" w:rsidR="00F22FCB" w:rsidRPr="00F22FCB" w:rsidRDefault="00F22FCB" w:rsidP="00F22FCB">
      <w:pPr>
        <w:pStyle w:val="Standard"/>
        <w:ind w:left="284"/>
        <w:jc w:val="both"/>
        <w:rPr>
          <w:rFonts w:ascii="Garamond" w:hAnsi="Garamond"/>
          <w:kern w:val="0"/>
          <w:szCs w:val="22"/>
          <w:lang w:val="es-ES" w:eastAsia="en-US"/>
        </w:rPr>
      </w:pPr>
      <w:r w:rsidRPr="00F22FCB">
        <w:rPr>
          <w:rFonts w:ascii="Garamond" w:hAnsi="Garamond"/>
          <w:kern w:val="0"/>
          <w:szCs w:val="22"/>
          <w:lang w:val="es-ES" w:eastAsia="en-US"/>
        </w:rPr>
        <w:t>Los actos administrativos a que se refiere el inciso anterior deberán ser remitidos a la Secretaría Distrital de Hacienda - Dirección Distrital de Presupuesto, con la documentación requerida para la aprobación de las operaciones presupuestales en ellos contenidas, requisito sin el cual no podrán ser incorporados en el Presupuesto.</w:t>
      </w:r>
    </w:p>
    <w:p w14:paraId="35FDFC14" w14:textId="77777777" w:rsidR="00F22FCB" w:rsidRPr="00F22FCB" w:rsidRDefault="00F22FCB" w:rsidP="00F22FCB">
      <w:pPr>
        <w:pStyle w:val="Standard"/>
        <w:ind w:left="284"/>
        <w:jc w:val="both"/>
        <w:rPr>
          <w:rFonts w:ascii="Garamond" w:hAnsi="Garamond"/>
          <w:kern w:val="0"/>
          <w:szCs w:val="22"/>
          <w:lang w:val="es-ES" w:eastAsia="en-US"/>
        </w:rPr>
      </w:pPr>
    </w:p>
    <w:p w14:paraId="6BBC5657" w14:textId="77777777" w:rsidR="00F22FCB" w:rsidRPr="00F22FCB" w:rsidRDefault="00F22FCB" w:rsidP="00F22FCB">
      <w:pPr>
        <w:pStyle w:val="Standard"/>
        <w:ind w:left="284"/>
        <w:jc w:val="both"/>
        <w:rPr>
          <w:rFonts w:ascii="Garamond" w:hAnsi="Garamond"/>
          <w:kern w:val="0"/>
          <w:szCs w:val="22"/>
          <w:lang w:val="es-ES" w:eastAsia="en-US"/>
        </w:rPr>
      </w:pPr>
      <w:r w:rsidRPr="00F22FCB">
        <w:rPr>
          <w:rFonts w:ascii="Garamond" w:hAnsi="Garamond"/>
          <w:kern w:val="0"/>
          <w:szCs w:val="22"/>
          <w:lang w:val="es-ES" w:eastAsia="en-US"/>
        </w:rPr>
        <w:t>Por lo cual hasta no contar con lo establecido en el parágrafo anterior la UAERMV no podrá realizar la adquisición de Insumos para el desarrollo de convenio en la etapa de ejecución física de la Obra.</w:t>
      </w:r>
    </w:p>
    <w:p w14:paraId="2D5CD9FB" w14:textId="77777777" w:rsidR="00EB2F4B" w:rsidRDefault="00EB2F4B" w:rsidP="00EB2F4B">
      <w:pPr>
        <w:rPr>
          <w:rFonts w:ascii="Garamond" w:hAnsi="Garamond"/>
          <w:b/>
          <w:lang w:val="es-ES"/>
        </w:rPr>
      </w:pPr>
    </w:p>
    <w:p w14:paraId="4D251B73" w14:textId="53252D41" w:rsidR="00EB2F4B" w:rsidRPr="00EB2F4B" w:rsidRDefault="00EB2F4B" w:rsidP="00EB2F4B">
      <w:pPr>
        <w:pStyle w:val="Prrafodelista"/>
        <w:numPr>
          <w:ilvl w:val="0"/>
          <w:numId w:val="3"/>
        </w:numPr>
        <w:rPr>
          <w:rFonts w:ascii="Garamond" w:hAnsi="Garamond"/>
          <w:b/>
          <w:bCs/>
        </w:rPr>
      </w:pPr>
      <w:r w:rsidRPr="00EB2F4B">
        <w:rPr>
          <w:rFonts w:ascii="Garamond" w:hAnsi="Garamond"/>
          <w:b/>
          <w:bCs/>
        </w:rPr>
        <w:t>PLAN OPERATIVO DE ACTIVIDADES – POA – CRONOGRAMA</w:t>
      </w:r>
    </w:p>
    <w:p w14:paraId="65D53A10" w14:textId="77777777" w:rsidR="00F22FCB" w:rsidRPr="00F22FCB" w:rsidRDefault="00F22FCB" w:rsidP="00F22FCB">
      <w:pPr>
        <w:pStyle w:val="Prrafodelista"/>
        <w:autoSpaceDE w:val="0"/>
        <w:autoSpaceDN w:val="0"/>
        <w:adjustRightInd w:val="0"/>
        <w:spacing w:after="0" w:line="240" w:lineRule="auto"/>
        <w:rPr>
          <w:rFonts w:ascii="Garamond" w:eastAsiaTheme="minorHAnsi" w:hAnsi="Garamond" w:cs="Arial"/>
          <w:lang w:eastAsia="en-US"/>
        </w:rPr>
      </w:pPr>
      <w:r w:rsidRPr="00F22FCB">
        <w:rPr>
          <w:rFonts w:ascii="Garamond" w:eastAsiaTheme="minorHAnsi" w:hAnsi="Garamond" w:cs="Arial"/>
          <w:lang w:eastAsia="en-US"/>
        </w:rPr>
        <w:t>Una vez se de inicio al convenio, la UAERMV deberá formular y presentar el POA el cual mínimo deberá contemplar las actividades de carácter administrativo y de calidad, situación que debe darse previo al inicio de la ejecución técnica y de las etapas que se desarrollan en el convenio.</w:t>
      </w:r>
    </w:p>
    <w:p w14:paraId="4021644F" w14:textId="77777777" w:rsidR="00F22FCB" w:rsidRPr="00F22FCB" w:rsidRDefault="00F22FCB" w:rsidP="00F22FCB">
      <w:pPr>
        <w:pStyle w:val="Prrafodelista"/>
        <w:autoSpaceDE w:val="0"/>
        <w:autoSpaceDN w:val="0"/>
        <w:adjustRightInd w:val="0"/>
        <w:spacing w:after="0" w:line="240" w:lineRule="auto"/>
        <w:rPr>
          <w:rFonts w:ascii="Garamond" w:eastAsiaTheme="minorHAnsi" w:hAnsi="Garamond" w:cs="Arial"/>
          <w:lang w:eastAsia="en-US"/>
        </w:rPr>
      </w:pPr>
    </w:p>
    <w:p w14:paraId="5C120523" w14:textId="77777777" w:rsidR="00F22FCB" w:rsidRPr="00F22FCB" w:rsidRDefault="00F22FCB" w:rsidP="00F22FCB">
      <w:pPr>
        <w:pStyle w:val="Prrafodelista"/>
        <w:tabs>
          <w:tab w:val="left" w:pos="993"/>
        </w:tabs>
        <w:spacing w:after="0" w:line="240" w:lineRule="auto"/>
        <w:ind w:right="49"/>
        <w:rPr>
          <w:rFonts w:ascii="Garamond" w:hAnsi="Garamond" w:cs="Arial"/>
        </w:rPr>
      </w:pPr>
      <w:r w:rsidRPr="00F22FCB">
        <w:rPr>
          <w:rFonts w:ascii="Garamond" w:hAnsi="Garamond" w:cs="Arial"/>
        </w:rPr>
        <w:t xml:space="preserve">El plan </w:t>
      </w:r>
      <w:proofErr w:type="gramStart"/>
      <w:r w:rsidRPr="00F22FCB">
        <w:rPr>
          <w:rFonts w:ascii="Garamond" w:hAnsi="Garamond" w:cs="Arial"/>
        </w:rPr>
        <w:t>operativo  y</w:t>
      </w:r>
      <w:proofErr w:type="gramEnd"/>
      <w:r w:rsidRPr="00F22FCB">
        <w:rPr>
          <w:rFonts w:ascii="Garamond" w:hAnsi="Garamond" w:cs="Arial"/>
        </w:rPr>
        <w:t xml:space="preserve"> cronograma deberán contemplar la programación detallada de las actividades requeridas para la ejecución del convenio, de acuerdo con el plazo máximo definido; además de planteamientos técnicos </w:t>
      </w:r>
      <w:r w:rsidRPr="00F22FCB">
        <w:rPr>
          <w:rFonts w:ascii="Garamond" w:hAnsi="Garamond" w:cs="Arial"/>
        </w:rPr>
        <w:lastRenderedPageBreak/>
        <w:t>operativos y de calidad descritos en el presente anexo. El POA deberá ser presentado por parte de la UAERMV dentro de los (10) días siguientes a la suscripción del acta de inicio para aprobación del supervisor del FDLCH.</w:t>
      </w:r>
    </w:p>
    <w:p w14:paraId="3A5BF2C5" w14:textId="77777777" w:rsidR="00F22FCB" w:rsidRPr="008A58A3" w:rsidRDefault="00F22FCB" w:rsidP="00F22FCB">
      <w:pPr>
        <w:pStyle w:val="paragraph"/>
        <w:spacing w:before="0" w:beforeAutospacing="0" w:after="0" w:afterAutospacing="0"/>
        <w:ind w:left="720" w:right="45"/>
        <w:jc w:val="both"/>
        <w:rPr>
          <w:rStyle w:val="eop"/>
          <w:rFonts w:ascii="Garamond" w:eastAsia="SimSun" w:hAnsi="Garamond" w:cs="Arial"/>
          <w:sz w:val="22"/>
        </w:rPr>
      </w:pPr>
    </w:p>
    <w:p w14:paraId="747D4E59" w14:textId="77777777" w:rsidR="00F22FCB" w:rsidRPr="008A58A3" w:rsidRDefault="00F22FCB" w:rsidP="00F22FCB">
      <w:pPr>
        <w:pStyle w:val="paragraph"/>
        <w:spacing w:before="0" w:beforeAutospacing="0" w:after="0" w:afterAutospacing="0"/>
        <w:ind w:left="720" w:right="45"/>
        <w:jc w:val="both"/>
        <w:rPr>
          <w:rStyle w:val="eop"/>
          <w:rFonts w:ascii="Garamond" w:eastAsia="SimSun" w:hAnsi="Garamond" w:cs="Arial"/>
          <w:sz w:val="22"/>
        </w:rPr>
      </w:pPr>
      <w:r w:rsidRPr="008A58A3">
        <w:rPr>
          <w:rStyle w:val="eop"/>
          <w:rFonts w:ascii="Garamond" w:eastAsia="SimSun" w:hAnsi="Garamond" w:cs="Arial"/>
          <w:sz w:val="22"/>
        </w:rPr>
        <w:t>Ante circunstancias o riesgos previsibles que impidan el normal desarrollo de las actividades y el cumplimiento de los plazos, estas no generarán costos adicionales.</w:t>
      </w:r>
    </w:p>
    <w:p w14:paraId="0633A3EC" w14:textId="77777777" w:rsidR="00F22FCB" w:rsidRPr="008A58A3" w:rsidRDefault="00F22FCB" w:rsidP="00F22FCB">
      <w:pPr>
        <w:pStyle w:val="paragraph"/>
        <w:spacing w:before="0" w:beforeAutospacing="0" w:after="0" w:afterAutospacing="0"/>
        <w:ind w:left="720" w:right="45"/>
        <w:jc w:val="both"/>
        <w:rPr>
          <w:rStyle w:val="eop"/>
          <w:rFonts w:ascii="Garamond" w:eastAsia="SimSun" w:hAnsi="Garamond" w:cs="Arial"/>
          <w:sz w:val="22"/>
        </w:rPr>
      </w:pPr>
    </w:p>
    <w:p w14:paraId="06244451" w14:textId="77777777" w:rsidR="00F22FCB" w:rsidRPr="008A58A3" w:rsidRDefault="00F22FCB" w:rsidP="00F22FCB">
      <w:pPr>
        <w:pStyle w:val="paragraph"/>
        <w:spacing w:before="0" w:beforeAutospacing="0" w:after="0" w:afterAutospacing="0"/>
        <w:ind w:left="720" w:right="45"/>
        <w:jc w:val="both"/>
        <w:rPr>
          <w:rStyle w:val="eop"/>
          <w:rFonts w:ascii="Garamond" w:eastAsia="SimSun" w:hAnsi="Garamond" w:cs="Arial"/>
          <w:sz w:val="22"/>
        </w:rPr>
      </w:pPr>
      <w:r w:rsidRPr="008A58A3">
        <w:rPr>
          <w:rStyle w:val="eop"/>
          <w:rFonts w:ascii="Garamond" w:eastAsia="SimSun" w:hAnsi="Garamond" w:cs="Arial"/>
          <w:sz w:val="22"/>
        </w:rPr>
        <w:t xml:space="preserve">En cumplimiento del objeto contractual, </w:t>
      </w:r>
      <w:r w:rsidRPr="008A58A3">
        <w:rPr>
          <w:rStyle w:val="eop"/>
          <w:rFonts w:eastAsia="SimSun"/>
          <w:sz w:val="22"/>
        </w:rPr>
        <w:t xml:space="preserve">la UAERMV </w:t>
      </w:r>
      <w:r w:rsidRPr="008A58A3">
        <w:rPr>
          <w:rStyle w:val="eop"/>
          <w:rFonts w:ascii="Garamond" w:eastAsia="SimSun" w:hAnsi="Garamond" w:cs="Arial"/>
          <w:sz w:val="22"/>
        </w:rPr>
        <w:t xml:space="preserve">debe presentar para revisión y aval de la supervisión o del apoyo designado a la supervisión, el POA, donde establecerá todas las actividades, para la correcta ejecución de cada etapa, los involucrados, los responsables, los entregables, las codependencias entre actividades, los criterios y tiempos de recibo y entrega de los productos. Deberá tener reflejado las fases y sus traslapos. </w:t>
      </w:r>
    </w:p>
    <w:p w14:paraId="385D9804" w14:textId="77777777" w:rsidR="00F22FCB" w:rsidRPr="008A58A3" w:rsidRDefault="00F22FCB" w:rsidP="00F22FCB">
      <w:pPr>
        <w:pStyle w:val="paragraph"/>
        <w:spacing w:before="0" w:beforeAutospacing="0" w:after="0" w:afterAutospacing="0"/>
        <w:ind w:left="720" w:right="45"/>
        <w:jc w:val="both"/>
        <w:rPr>
          <w:rStyle w:val="eop"/>
          <w:rFonts w:ascii="Garamond" w:eastAsia="SimSun" w:hAnsi="Garamond" w:cs="Arial"/>
          <w:sz w:val="22"/>
        </w:rPr>
      </w:pPr>
    </w:p>
    <w:p w14:paraId="799D9AF4" w14:textId="77777777" w:rsidR="00F22FCB" w:rsidRPr="008A58A3" w:rsidRDefault="00F22FCB" w:rsidP="00F22FCB">
      <w:pPr>
        <w:pStyle w:val="paragraph"/>
        <w:spacing w:before="0" w:beforeAutospacing="0" w:after="0" w:afterAutospacing="0"/>
        <w:ind w:left="720" w:right="45"/>
        <w:jc w:val="both"/>
        <w:rPr>
          <w:rStyle w:val="eop"/>
          <w:rFonts w:ascii="Garamond" w:eastAsia="SimSun" w:hAnsi="Garamond" w:cs="Arial"/>
          <w:sz w:val="22"/>
        </w:rPr>
      </w:pPr>
      <w:r w:rsidRPr="008A58A3">
        <w:rPr>
          <w:rStyle w:val="eop"/>
          <w:rFonts w:ascii="Garamond" w:eastAsia="SimSun" w:hAnsi="Garamond" w:cs="Arial"/>
          <w:sz w:val="22"/>
        </w:rPr>
        <w:t xml:space="preserve">Este POA, deberá ser revisado periódicamente, con todos los involucrados y actualizado a todos los interesados, para su seguimiento y control. </w:t>
      </w:r>
    </w:p>
    <w:p w14:paraId="2E4E8A1D" w14:textId="77777777" w:rsidR="00F22FCB" w:rsidRPr="008A58A3" w:rsidRDefault="00F22FCB" w:rsidP="00F22FCB">
      <w:pPr>
        <w:pStyle w:val="paragraph"/>
        <w:spacing w:before="0" w:beforeAutospacing="0" w:after="0" w:afterAutospacing="0"/>
        <w:ind w:left="720" w:right="45"/>
        <w:jc w:val="both"/>
        <w:rPr>
          <w:rStyle w:val="eop"/>
          <w:rFonts w:ascii="Garamond" w:eastAsia="SimSun" w:hAnsi="Garamond" w:cs="Arial"/>
          <w:sz w:val="22"/>
        </w:rPr>
      </w:pPr>
    </w:p>
    <w:p w14:paraId="16153D99" w14:textId="77777777" w:rsidR="00F22FCB" w:rsidRPr="00F22FCB" w:rsidRDefault="00F22FCB" w:rsidP="00F22FCB">
      <w:pPr>
        <w:pStyle w:val="Prrafodelista"/>
        <w:autoSpaceDE w:val="0"/>
        <w:autoSpaceDN w:val="0"/>
        <w:adjustRightInd w:val="0"/>
        <w:spacing w:after="0" w:line="240" w:lineRule="auto"/>
        <w:rPr>
          <w:rStyle w:val="eop"/>
          <w:rFonts w:ascii="Garamond" w:eastAsia="SimSun" w:hAnsi="Garamond" w:cs="Arial"/>
        </w:rPr>
      </w:pPr>
      <w:r w:rsidRPr="00F22FCB">
        <w:rPr>
          <w:rStyle w:val="eop"/>
          <w:rFonts w:ascii="Garamond" w:eastAsia="SimSun" w:hAnsi="Garamond" w:cs="Arial"/>
        </w:rPr>
        <w:t>Este POA debe cumplir con los requisitos de la normatividad vigente en el sector vial a nivel nacional y deberá contener las labores de seguimiento para las obras a desarrollar y deberá considerar como mínimo los siguientes temas:</w:t>
      </w:r>
    </w:p>
    <w:p w14:paraId="47E8DFDD" w14:textId="77777777" w:rsidR="00F22FCB" w:rsidRPr="00F22FCB" w:rsidRDefault="00F22FCB" w:rsidP="00F22FCB">
      <w:pPr>
        <w:pStyle w:val="Prrafodelista"/>
        <w:autoSpaceDE w:val="0"/>
        <w:autoSpaceDN w:val="0"/>
        <w:adjustRightInd w:val="0"/>
        <w:spacing w:after="0" w:line="240" w:lineRule="auto"/>
        <w:rPr>
          <w:rStyle w:val="eop"/>
          <w:rFonts w:ascii="Garamond" w:eastAsia="SimSun" w:hAnsi="Garamond" w:cs="Arial"/>
        </w:rPr>
      </w:pPr>
    </w:p>
    <w:p w14:paraId="4BE0ED7D" w14:textId="702FAC55" w:rsidR="00F22FCB" w:rsidRPr="00F22FCB" w:rsidRDefault="00F22FCB" w:rsidP="00F22FCB">
      <w:pPr>
        <w:pStyle w:val="Prrafodelista"/>
        <w:autoSpaceDE w:val="0"/>
        <w:autoSpaceDN w:val="0"/>
        <w:adjustRightInd w:val="0"/>
        <w:spacing w:after="0" w:line="240" w:lineRule="auto"/>
        <w:rPr>
          <w:rFonts w:ascii="Garamond" w:eastAsiaTheme="minorHAnsi" w:hAnsi="Garamond" w:cs="Arial"/>
          <w:lang w:eastAsia="en-US"/>
        </w:rPr>
      </w:pPr>
      <w:r>
        <w:rPr>
          <w:rFonts w:ascii="Garamond" w:eastAsiaTheme="minorHAnsi" w:hAnsi="Garamond" w:cs="Arial"/>
          <w:lang w:eastAsia="en-US"/>
        </w:rPr>
        <w:t>S</w:t>
      </w:r>
      <w:r w:rsidRPr="00F22FCB">
        <w:rPr>
          <w:rFonts w:ascii="Garamond" w:eastAsiaTheme="minorHAnsi" w:hAnsi="Garamond" w:cs="Arial"/>
          <w:lang w:eastAsia="en-US"/>
        </w:rPr>
        <w:t>e deberá presentar un cronograma por la UAERMV, en el cual se especificará las actividades generales y las especificas por cada segmento vial a intervenir en el desarrollo del presente convenio.</w:t>
      </w:r>
    </w:p>
    <w:p w14:paraId="45E05420" w14:textId="6A185A31" w:rsidR="00EB2F4B" w:rsidRPr="00EB2F4B" w:rsidRDefault="00EB2F4B" w:rsidP="00EB2F4B">
      <w:pPr>
        <w:ind w:firstLine="709"/>
        <w:rPr>
          <w:rFonts w:ascii="Garamond" w:hAnsi="Garamond"/>
          <w:b/>
          <w:bCs/>
        </w:rPr>
      </w:pPr>
      <w:r>
        <w:rPr>
          <w:rFonts w:ascii="Garamond" w:hAnsi="Garamond"/>
        </w:rPr>
        <w:t xml:space="preserve">6.1 </w:t>
      </w:r>
      <w:r w:rsidRPr="00EB2F4B">
        <w:rPr>
          <w:rFonts w:ascii="Garamond" w:hAnsi="Garamond"/>
          <w:b/>
          <w:bCs/>
        </w:rPr>
        <w:t>SEGUIMIENTO Y CALIDAD A LAS INTERVENCIONES DESARROLLADAS UAERMV</w:t>
      </w:r>
    </w:p>
    <w:p w14:paraId="352317CD" w14:textId="4E62A902" w:rsidR="00EB2F4B" w:rsidRPr="00EB2F4B" w:rsidRDefault="00EB2F4B" w:rsidP="00EB2F4B">
      <w:pPr>
        <w:rPr>
          <w:rFonts w:ascii="Garamond" w:hAnsi="Garamond"/>
        </w:rPr>
      </w:pPr>
      <w:r w:rsidRPr="00EB2F4B">
        <w:rPr>
          <w:rFonts w:ascii="Garamond" w:hAnsi="Garamond"/>
        </w:rPr>
        <w:t xml:space="preserve">Para garantizar la calidad de las intervenciones que se ejecuten en el marco del convenio, la UAERMV estará sujeta de los manuales, procesos y procedimientos establecido por la entidad; estos documentos serán entregados al supervisor del convenio, designado por el </w:t>
      </w:r>
      <w:r w:rsidR="00F323CB">
        <w:rPr>
          <w:rFonts w:ascii="Garamond" w:hAnsi="Garamond"/>
        </w:rPr>
        <w:t>FDLM</w:t>
      </w:r>
      <w:r w:rsidRPr="00EB2F4B">
        <w:rPr>
          <w:rFonts w:ascii="Garamond" w:hAnsi="Garamond"/>
        </w:rPr>
        <w:t xml:space="preserve"> para facilitar el seguimiento, vigilancia y control a las actividades que se ejecuten.</w:t>
      </w:r>
    </w:p>
    <w:p w14:paraId="3A633045" w14:textId="33503E2F" w:rsidR="00EB2F4B" w:rsidRPr="00EB2F4B" w:rsidRDefault="00EB2F4B" w:rsidP="00EB2F4B">
      <w:pPr>
        <w:ind w:firstLine="709"/>
        <w:rPr>
          <w:rFonts w:ascii="Garamond" w:hAnsi="Garamond"/>
          <w:b/>
          <w:bCs/>
        </w:rPr>
      </w:pPr>
      <w:r>
        <w:rPr>
          <w:rFonts w:ascii="Garamond" w:hAnsi="Garamond"/>
          <w:b/>
          <w:bCs/>
        </w:rPr>
        <w:t xml:space="preserve">6.2 </w:t>
      </w:r>
      <w:r w:rsidRPr="00EB2F4B">
        <w:rPr>
          <w:rFonts w:ascii="Garamond" w:hAnsi="Garamond"/>
          <w:b/>
          <w:bCs/>
        </w:rPr>
        <w:t>CONTROL DOCUMENTAL</w:t>
      </w:r>
    </w:p>
    <w:p w14:paraId="467FB0C8" w14:textId="77777777" w:rsidR="00EB2F4B" w:rsidRPr="00EB2F4B" w:rsidRDefault="00EB2F4B" w:rsidP="00EB2F4B">
      <w:pPr>
        <w:rPr>
          <w:rFonts w:ascii="Garamond" w:hAnsi="Garamond"/>
        </w:rPr>
      </w:pPr>
      <w:r w:rsidRPr="00EB2F4B">
        <w:rPr>
          <w:rFonts w:ascii="Garamond" w:hAnsi="Garamond"/>
        </w:rPr>
        <w:t>Acorde al Plan de Calidad de la UAERMV, donde se encuentran descritos los controles y criterios de entrega de los documentos, que emitirá en marco de la ejecución del convenio, deberá definir su tipología, los tipos de documentos a realizar, el control de trazabilidad, deberán ser legibles, siempre deben estar firmados por las personas autorizadas para su aprobación, deben conservar los requerimientos de la gestión de calidad, (manual, procedimientos, instructivos, registros), el control documental de los informes, registros, documentos, actas, formatos, bitácoras (por  segmentos viales ), o cualquier documento resultante de la ejecución del convenio. Documentos internos y de orden externo, deberá asegurar que los documentos lleguen a manos del interesado de la comunicación emitida y quien debe tomar las decisiones en virtud de ser requeridas.</w:t>
      </w:r>
    </w:p>
    <w:p w14:paraId="4245283E" w14:textId="6CD41C7E" w:rsidR="00EB2F4B" w:rsidRPr="00EB2F4B" w:rsidRDefault="00EB2F4B" w:rsidP="00EB2F4B">
      <w:pPr>
        <w:ind w:firstLine="709"/>
        <w:rPr>
          <w:rFonts w:ascii="Garamond" w:hAnsi="Garamond"/>
          <w:b/>
          <w:bCs/>
        </w:rPr>
      </w:pPr>
      <w:r w:rsidRPr="00EB2F4B">
        <w:rPr>
          <w:rFonts w:ascii="Garamond" w:hAnsi="Garamond"/>
          <w:b/>
          <w:bCs/>
        </w:rPr>
        <w:t>6.3 CONTROL DE REGISTRO</w:t>
      </w:r>
    </w:p>
    <w:p w14:paraId="2A18C00C" w14:textId="77777777" w:rsidR="00EB2F4B" w:rsidRPr="00EB2F4B" w:rsidRDefault="00EB2F4B" w:rsidP="00EB2F4B">
      <w:pPr>
        <w:rPr>
          <w:rFonts w:ascii="Garamond" w:hAnsi="Garamond"/>
        </w:rPr>
      </w:pPr>
      <w:r w:rsidRPr="00EB2F4B">
        <w:rPr>
          <w:rFonts w:ascii="Garamond" w:hAnsi="Garamond"/>
        </w:rPr>
        <w:t>Se deberán definir juntamente con el supervisor o el apoyo designado a la supervisión los requisitos para realizar el cumplimiento de sus obligaciones en desarrollo del Convenio, como y cuando deberá entregar los controles del desarrollo del Convenio, y la respectiva trazabilidad que regirá en las comunicaciones y de las actividades, establecidos por la UAERMV para tal fin.</w:t>
      </w:r>
    </w:p>
    <w:p w14:paraId="2A48BD1B" w14:textId="3D4FBCBB" w:rsidR="00EB2F4B" w:rsidRPr="00EB2F4B" w:rsidRDefault="00EB2F4B" w:rsidP="00EB2F4B">
      <w:pPr>
        <w:ind w:firstLine="709"/>
        <w:rPr>
          <w:rFonts w:ascii="Garamond" w:hAnsi="Garamond"/>
          <w:b/>
          <w:bCs/>
        </w:rPr>
      </w:pPr>
      <w:r w:rsidRPr="00EB2F4B">
        <w:rPr>
          <w:rFonts w:ascii="Garamond" w:hAnsi="Garamond"/>
          <w:b/>
          <w:bCs/>
        </w:rPr>
        <w:t>6.4 IDENTIFICACIÓN DE REQUISITOS LEGALES</w:t>
      </w:r>
    </w:p>
    <w:p w14:paraId="57A23961" w14:textId="77777777" w:rsidR="00EB2F4B" w:rsidRPr="00EB2F4B" w:rsidRDefault="00EB2F4B" w:rsidP="00EB2F4B">
      <w:pPr>
        <w:rPr>
          <w:rFonts w:ascii="Garamond" w:hAnsi="Garamond"/>
        </w:rPr>
      </w:pPr>
      <w:r w:rsidRPr="00EB2F4B">
        <w:rPr>
          <w:rFonts w:ascii="Garamond" w:hAnsi="Garamond"/>
        </w:rPr>
        <w:t>Se deberá cumplir el normograma establecido por la UAERMV para el desarrollo de las intervenciones de acuerdo con su misionalidad.</w:t>
      </w:r>
    </w:p>
    <w:p w14:paraId="63A21B74" w14:textId="09A1C64D" w:rsidR="00EB2F4B" w:rsidRPr="00E90D2A" w:rsidRDefault="00E90D2A" w:rsidP="00E90D2A">
      <w:pPr>
        <w:ind w:firstLine="709"/>
        <w:rPr>
          <w:rFonts w:ascii="Garamond" w:hAnsi="Garamond"/>
          <w:b/>
          <w:bCs/>
        </w:rPr>
      </w:pPr>
      <w:r w:rsidRPr="00E90D2A">
        <w:rPr>
          <w:rFonts w:ascii="Garamond" w:hAnsi="Garamond"/>
          <w:b/>
          <w:bCs/>
        </w:rPr>
        <w:t xml:space="preserve">6.5 </w:t>
      </w:r>
      <w:r w:rsidR="00EB2F4B" w:rsidRPr="00E90D2A">
        <w:rPr>
          <w:rFonts w:ascii="Garamond" w:hAnsi="Garamond"/>
          <w:b/>
          <w:bCs/>
        </w:rPr>
        <w:t>INFRAESTRUCTURA</w:t>
      </w:r>
    </w:p>
    <w:p w14:paraId="004583ED" w14:textId="77777777" w:rsidR="00EB2F4B" w:rsidRPr="00EB2F4B" w:rsidRDefault="00EB2F4B" w:rsidP="00EB2F4B">
      <w:pPr>
        <w:rPr>
          <w:rFonts w:ascii="Garamond" w:hAnsi="Garamond"/>
        </w:rPr>
      </w:pPr>
      <w:r w:rsidRPr="00EB2F4B">
        <w:rPr>
          <w:rFonts w:ascii="Garamond" w:hAnsi="Garamond"/>
        </w:rPr>
        <w:t>La UAERMV deberá asegurar que cuenta con los recursos físicos y profesionales, de equipos, e instalaciones, servicios de apoyo, laboratorios, equipos de topografía, acorde a la magnitud y alcance del objeto del Convenio en todas sus fases de ejecución.</w:t>
      </w:r>
    </w:p>
    <w:p w14:paraId="2CC071E4" w14:textId="1A73CE80" w:rsidR="00EB2F4B" w:rsidRPr="00E90D2A" w:rsidRDefault="00E90D2A" w:rsidP="00E90D2A">
      <w:pPr>
        <w:ind w:firstLine="709"/>
        <w:rPr>
          <w:rFonts w:ascii="Garamond" w:hAnsi="Garamond"/>
          <w:b/>
          <w:bCs/>
        </w:rPr>
      </w:pPr>
      <w:r w:rsidRPr="00E90D2A">
        <w:rPr>
          <w:rFonts w:ascii="Garamond" w:hAnsi="Garamond"/>
          <w:b/>
          <w:bCs/>
        </w:rPr>
        <w:lastRenderedPageBreak/>
        <w:t xml:space="preserve">6.6 </w:t>
      </w:r>
      <w:r w:rsidR="00EB2F4B" w:rsidRPr="00E90D2A">
        <w:rPr>
          <w:rFonts w:ascii="Garamond" w:hAnsi="Garamond"/>
          <w:b/>
          <w:bCs/>
        </w:rPr>
        <w:t>PLANIFICACIÓN Y CONTROL DEL PROYECTO</w:t>
      </w:r>
    </w:p>
    <w:p w14:paraId="11482590" w14:textId="77777777" w:rsidR="00BA0D53" w:rsidRPr="008A58A3" w:rsidRDefault="00BA0D53" w:rsidP="00BA0D53">
      <w:pPr>
        <w:autoSpaceDE w:val="0"/>
        <w:autoSpaceDN w:val="0"/>
        <w:adjustRightInd w:val="0"/>
        <w:spacing w:after="0" w:line="240" w:lineRule="auto"/>
        <w:rPr>
          <w:rFonts w:ascii="Garamond" w:eastAsiaTheme="minorHAnsi" w:hAnsi="Garamond" w:cs="Arial"/>
          <w:lang w:eastAsia="en-US"/>
        </w:rPr>
      </w:pPr>
      <w:r w:rsidRPr="008A58A3">
        <w:rPr>
          <w:rFonts w:ascii="Garamond" w:eastAsiaTheme="minorHAnsi" w:hAnsi="Garamond" w:cs="Arial"/>
          <w:lang w:eastAsia="en-US"/>
        </w:rPr>
        <w:t>La UAERMV deberá establecer para cada actividad o grupos de actividades los controles que implementará para su vigilancia y control, la aceptación por calidad de materiales y actividades y la periodicidad de verificación, así como los responsables de entrega y recibo, como se llevará a cabo este control y como revisará y aprobará al interior las mismas, debe entregarse un documento (de acuerdo al procedimiento establecido por la UAERMV) y socializarse esta información en comité con las partes.</w:t>
      </w:r>
    </w:p>
    <w:p w14:paraId="17D5C35B" w14:textId="77777777" w:rsidR="00BA0D53" w:rsidRPr="008A58A3" w:rsidRDefault="00BA0D53" w:rsidP="00BA0D53">
      <w:pPr>
        <w:autoSpaceDE w:val="0"/>
        <w:autoSpaceDN w:val="0"/>
        <w:adjustRightInd w:val="0"/>
        <w:spacing w:after="0" w:line="240" w:lineRule="auto"/>
        <w:rPr>
          <w:rFonts w:ascii="Garamond" w:eastAsiaTheme="minorHAnsi" w:hAnsi="Garamond" w:cs="Arial"/>
          <w:lang w:eastAsia="en-US"/>
        </w:rPr>
      </w:pPr>
    </w:p>
    <w:p w14:paraId="7EB43CD1" w14:textId="77777777" w:rsidR="00BA0D53" w:rsidRPr="008A58A3" w:rsidRDefault="00BA0D53" w:rsidP="00BA0D53">
      <w:pPr>
        <w:autoSpaceDE w:val="0"/>
        <w:autoSpaceDN w:val="0"/>
        <w:adjustRightInd w:val="0"/>
        <w:spacing w:after="0" w:line="240" w:lineRule="auto"/>
        <w:rPr>
          <w:rFonts w:ascii="Garamond" w:eastAsiaTheme="minorHAnsi" w:hAnsi="Garamond" w:cs="Arial"/>
          <w:lang w:eastAsia="en-US"/>
        </w:rPr>
      </w:pPr>
      <w:r w:rsidRPr="008A58A3">
        <w:rPr>
          <w:rFonts w:ascii="Garamond" w:eastAsiaTheme="minorHAnsi" w:hAnsi="Garamond" w:cs="Arial"/>
          <w:lang w:eastAsia="en-US"/>
        </w:rPr>
        <w:t xml:space="preserve">Dicho documento será claro y detallado, tendrá la especificación, criterios de revisión, correcciones y aprobaciones, debe definir si es actividad o material, debe contener la manera detallada de las inspecciones o pruebas o ensayos requeridos, la periodicidad o frecuencia con la que se realizarán. Responsables de toma de decisiones. </w:t>
      </w:r>
    </w:p>
    <w:p w14:paraId="638E180F" w14:textId="77777777" w:rsidR="00BA0D53" w:rsidRPr="008A58A3" w:rsidRDefault="00BA0D53" w:rsidP="00BA0D53">
      <w:pPr>
        <w:autoSpaceDE w:val="0"/>
        <w:autoSpaceDN w:val="0"/>
        <w:adjustRightInd w:val="0"/>
        <w:spacing w:after="0" w:line="240" w:lineRule="auto"/>
        <w:rPr>
          <w:rFonts w:ascii="Garamond" w:eastAsiaTheme="minorHAnsi" w:hAnsi="Garamond" w:cs="Arial"/>
          <w:lang w:eastAsia="en-US"/>
        </w:rPr>
      </w:pPr>
    </w:p>
    <w:p w14:paraId="5D3DD449" w14:textId="77777777" w:rsidR="00BA0D53" w:rsidRPr="008A58A3" w:rsidRDefault="00BA0D53" w:rsidP="00BA0D53">
      <w:pPr>
        <w:autoSpaceDE w:val="0"/>
        <w:autoSpaceDN w:val="0"/>
        <w:adjustRightInd w:val="0"/>
        <w:spacing w:after="0" w:line="240" w:lineRule="auto"/>
        <w:rPr>
          <w:rFonts w:ascii="Garamond" w:eastAsiaTheme="minorHAnsi" w:hAnsi="Garamond" w:cs="Arial"/>
          <w:lang w:eastAsia="en-US"/>
        </w:rPr>
      </w:pPr>
      <w:r w:rsidRPr="008A58A3">
        <w:rPr>
          <w:rFonts w:ascii="Garamond" w:eastAsiaTheme="minorHAnsi" w:hAnsi="Garamond" w:cs="Arial"/>
          <w:lang w:eastAsia="en-US"/>
        </w:rPr>
        <w:t>Dicho plan de inspección y ensayo deberá contener los materiales y actividades del proyecto que cumplan con el alcance de este, y definir las periodicidades de los ensayos de laboratorio requeridos, las especificaciones técnicas para las actividades a ejecutar.</w:t>
      </w:r>
    </w:p>
    <w:p w14:paraId="0BFDBB17" w14:textId="77777777" w:rsidR="00BA0D53" w:rsidRDefault="00BA0D53" w:rsidP="00E90D2A">
      <w:pPr>
        <w:ind w:firstLine="709"/>
        <w:rPr>
          <w:rFonts w:ascii="Garamond" w:hAnsi="Garamond"/>
          <w:b/>
          <w:bCs/>
        </w:rPr>
      </w:pPr>
    </w:p>
    <w:p w14:paraId="523AF9B1" w14:textId="4F410230" w:rsidR="00EB2F4B" w:rsidRPr="00E90D2A" w:rsidRDefault="00E90D2A" w:rsidP="00E90D2A">
      <w:pPr>
        <w:ind w:firstLine="709"/>
        <w:rPr>
          <w:rFonts w:ascii="Garamond" w:hAnsi="Garamond"/>
          <w:b/>
          <w:bCs/>
        </w:rPr>
      </w:pPr>
      <w:r w:rsidRPr="00E90D2A">
        <w:rPr>
          <w:rFonts w:ascii="Garamond" w:hAnsi="Garamond"/>
          <w:b/>
          <w:bCs/>
        </w:rPr>
        <w:t xml:space="preserve">6.7 </w:t>
      </w:r>
      <w:r w:rsidR="00EB2F4B" w:rsidRPr="00E90D2A">
        <w:rPr>
          <w:rFonts w:ascii="Garamond" w:hAnsi="Garamond"/>
          <w:b/>
          <w:bCs/>
        </w:rPr>
        <w:t>IDENTIFICACIÓN Y TRAZABILIDAD</w:t>
      </w:r>
    </w:p>
    <w:p w14:paraId="323E3231" w14:textId="77777777" w:rsidR="00EB2F4B" w:rsidRPr="00EB2F4B" w:rsidRDefault="00EB2F4B" w:rsidP="00EB2F4B">
      <w:pPr>
        <w:rPr>
          <w:rFonts w:ascii="Garamond" w:hAnsi="Garamond"/>
        </w:rPr>
      </w:pPr>
      <w:r w:rsidRPr="00EB2F4B">
        <w:rPr>
          <w:rFonts w:ascii="Garamond" w:hAnsi="Garamond"/>
        </w:rPr>
        <w:t>La UAERMV deberá establecer los procesos, mecanismos y metodologías para establecer y rastrear el estado del proyecto, avance, cumplimiento de especificaciones técnicas, etc. Definirá los registros a usar para la trazabilidad de las actividades y productos de las obras, acorde a los requerimientos contractuales y precontractuales, estas evidencias deberán ser incluidas en los informes mensuales a presentar a la supervisión.</w:t>
      </w:r>
    </w:p>
    <w:p w14:paraId="18DFFE06" w14:textId="1432DE5A" w:rsidR="00EB2F4B" w:rsidRPr="00E90D2A" w:rsidRDefault="00E90D2A" w:rsidP="00E90D2A">
      <w:pPr>
        <w:ind w:firstLine="709"/>
        <w:rPr>
          <w:rFonts w:ascii="Garamond" w:hAnsi="Garamond"/>
          <w:b/>
          <w:bCs/>
        </w:rPr>
      </w:pPr>
      <w:r w:rsidRPr="00E90D2A">
        <w:rPr>
          <w:rFonts w:ascii="Garamond" w:hAnsi="Garamond"/>
          <w:b/>
          <w:bCs/>
        </w:rPr>
        <w:t xml:space="preserve">6.8 </w:t>
      </w:r>
      <w:r w:rsidR="00EB2F4B" w:rsidRPr="00E90D2A">
        <w:rPr>
          <w:rFonts w:ascii="Garamond" w:hAnsi="Garamond"/>
          <w:b/>
          <w:bCs/>
        </w:rPr>
        <w:t>PRESERVACIÓN DEL PRODUCTO</w:t>
      </w:r>
    </w:p>
    <w:p w14:paraId="6021F44F" w14:textId="77777777" w:rsidR="00EB2F4B" w:rsidRPr="00EB2F4B" w:rsidRDefault="00EB2F4B" w:rsidP="00EB2F4B">
      <w:pPr>
        <w:rPr>
          <w:rFonts w:ascii="Garamond" w:hAnsi="Garamond"/>
        </w:rPr>
      </w:pPr>
      <w:r w:rsidRPr="00EB2F4B">
        <w:rPr>
          <w:rFonts w:ascii="Garamond" w:hAnsi="Garamond"/>
        </w:rPr>
        <w:t>La UAERMV garantizara la calidad de las obras de acuerdo con los establecido en los manuales, procesos y procedimientos de la UAERMV.</w:t>
      </w:r>
    </w:p>
    <w:p w14:paraId="38AEC95F" w14:textId="5C4D2390" w:rsidR="00EB2F4B" w:rsidRPr="00E90D2A" w:rsidRDefault="00E90D2A" w:rsidP="00E90D2A">
      <w:pPr>
        <w:ind w:firstLine="709"/>
        <w:rPr>
          <w:rFonts w:ascii="Garamond" w:hAnsi="Garamond"/>
          <w:b/>
          <w:bCs/>
        </w:rPr>
      </w:pPr>
      <w:r w:rsidRPr="00E90D2A">
        <w:rPr>
          <w:rFonts w:ascii="Garamond" w:hAnsi="Garamond"/>
          <w:b/>
          <w:bCs/>
        </w:rPr>
        <w:t xml:space="preserve">6.9 </w:t>
      </w:r>
      <w:r w:rsidR="00EB2F4B" w:rsidRPr="00E90D2A">
        <w:rPr>
          <w:rFonts w:ascii="Garamond" w:hAnsi="Garamond"/>
          <w:b/>
          <w:bCs/>
        </w:rPr>
        <w:t>CONTROL DE EQUIPOS DE SEGUIMIENTO Y MEDICIÓN</w:t>
      </w:r>
    </w:p>
    <w:p w14:paraId="7C7CD5DD" w14:textId="77777777" w:rsidR="00EB2F4B" w:rsidRPr="00EB2F4B" w:rsidRDefault="00EB2F4B" w:rsidP="00EB2F4B">
      <w:pPr>
        <w:rPr>
          <w:rFonts w:ascii="Garamond" w:hAnsi="Garamond"/>
        </w:rPr>
      </w:pPr>
      <w:r w:rsidRPr="00EB2F4B">
        <w:rPr>
          <w:rFonts w:ascii="Garamond" w:hAnsi="Garamond"/>
        </w:rPr>
        <w:t>De acuerdo con los manuales, procesos y procedimientos de la UAERMV se identificarán los equipos, periodicidad y controles que presentarán para el seguimiento y medición de los equipos utilizados por la UAERMV. Equipos de laboratorio de suelos, de topografía, manómetros, entre otros, la UAERMV deberá identificar los equipos que utilizará para asegurar que las actividades ejecutadas cumplen las especificaciones técnicas exigidas. Se deberán entregar los certificados de calibración y/o verificación de equipos y los registros de verificación de los equipos antes del uso de las intervenciones por parte de la UAERMV.</w:t>
      </w:r>
    </w:p>
    <w:p w14:paraId="24344032" w14:textId="03C410F9" w:rsidR="00EB2F4B" w:rsidRPr="00E90D2A" w:rsidRDefault="00E90D2A" w:rsidP="00E90D2A">
      <w:pPr>
        <w:ind w:firstLine="709"/>
        <w:rPr>
          <w:rFonts w:ascii="Garamond" w:hAnsi="Garamond"/>
          <w:b/>
          <w:bCs/>
        </w:rPr>
      </w:pPr>
      <w:r w:rsidRPr="00E90D2A">
        <w:rPr>
          <w:rFonts w:ascii="Garamond" w:hAnsi="Garamond"/>
          <w:b/>
          <w:bCs/>
        </w:rPr>
        <w:t xml:space="preserve">6.10 </w:t>
      </w:r>
      <w:r w:rsidR="00EB2F4B" w:rsidRPr="00E90D2A">
        <w:rPr>
          <w:rFonts w:ascii="Garamond" w:hAnsi="Garamond"/>
          <w:b/>
          <w:bCs/>
        </w:rPr>
        <w:t>PROCESOS POR CONTROLAR Y PRODUCTOS ESPERADOS</w:t>
      </w:r>
    </w:p>
    <w:p w14:paraId="33D8F1CA" w14:textId="77777777" w:rsidR="00EB2F4B" w:rsidRPr="00EB2F4B" w:rsidRDefault="00EB2F4B" w:rsidP="00EB2F4B">
      <w:pPr>
        <w:rPr>
          <w:rFonts w:ascii="Garamond" w:hAnsi="Garamond"/>
        </w:rPr>
      </w:pPr>
      <w:r w:rsidRPr="00EB2F4B">
        <w:rPr>
          <w:rFonts w:ascii="Garamond" w:hAnsi="Garamond"/>
        </w:rPr>
        <w:t xml:space="preserve">La UAERMV deberá implementar los procesos y procedimientos internos encaminados a garantizar el seguimiento y la calidad de las intervenciones, como un mecanismo de control y seguimiento de las actividades realizadas, considerando que los procedimientos aquí descritos son, en todo caso, el mínimo de las actividades a ser realizadas para el cumplimiento de sus funciones, por lo cual y en complemento a lo aquí establecido, la UAERMV está obligado a verificar y controlar que su personal cumpla de manera estricta lo establecido en los Documentos del Proceso, Estudios Previos, Anexo Técnico, Contrato y demás documentos. La aplicación de los procedimientos aquí descritos, en adición con todos aquellos que, a juicio de la UAERMV, resulten pertinentes para el cumplimiento de sus funciones, deberán estar orientados al cumplimiento de los resultados previstos en el Convenio y en sus capítulos y apéndices. </w:t>
      </w:r>
    </w:p>
    <w:p w14:paraId="0EC136B3" w14:textId="77777777" w:rsidR="00EB2F4B" w:rsidRPr="00EB2F4B" w:rsidRDefault="00EB2F4B" w:rsidP="00EB2F4B">
      <w:pPr>
        <w:rPr>
          <w:rFonts w:ascii="Garamond" w:hAnsi="Garamond"/>
        </w:rPr>
      </w:pPr>
      <w:r w:rsidRPr="00EB2F4B">
        <w:rPr>
          <w:rFonts w:ascii="Garamond" w:hAnsi="Garamond"/>
        </w:rPr>
        <w:t xml:space="preserve">La UAERMV deberá garantizar la supervisión continúa a cada una de las actividades de obra en ejecución según la programación del proyecto.  </w:t>
      </w:r>
    </w:p>
    <w:p w14:paraId="5E583359" w14:textId="5488F03A" w:rsidR="00EB2F4B" w:rsidRPr="00E90D2A" w:rsidRDefault="00E90D2A" w:rsidP="00E90D2A">
      <w:pPr>
        <w:ind w:firstLine="709"/>
        <w:rPr>
          <w:rFonts w:ascii="Garamond" w:hAnsi="Garamond"/>
          <w:b/>
          <w:bCs/>
        </w:rPr>
      </w:pPr>
      <w:r w:rsidRPr="00E90D2A">
        <w:rPr>
          <w:rFonts w:ascii="Garamond" w:hAnsi="Garamond"/>
          <w:b/>
          <w:bCs/>
        </w:rPr>
        <w:t xml:space="preserve">6.11 </w:t>
      </w:r>
      <w:r w:rsidR="00EB2F4B" w:rsidRPr="00E90D2A">
        <w:rPr>
          <w:rFonts w:ascii="Garamond" w:hAnsi="Garamond"/>
          <w:b/>
          <w:bCs/>
        </w:rPr>
        <w:t>PROCESO REVISIÓN DE LAS ACTIVIDADES DEL CONVENIO</w:t>
      </w:r>
    </w:p>
    <w:p w14:paraId="1724A790" w14:textId="4C32650D" w:rsidR="00EB2F4B" w:rsidRPr="00EB2F4B" w:rsidRDefault="00EB2F4B" w:rsidP="00EB2F4B">
      <w:pPr>
        <w:rPr>
          <w:rFonts w:ascii="Garamond" w:hAnsi="Garamond"/>
        </w:rPr>
      </w:pPr>
      <w:r w:rsidRPr="00EB2F4B">
        <w:rPr>
          <w:rFonts w:ascii="Garamond" w:hAnsi="Garamond"/>
        </w:rPr>
        <w:t xml:space="preserve">Corresponde a las actividades contempladas las cuales deberá verificar el cumplimiento cabal como ejecutor de Obra, acorde con lo establecido para el efecto en los Capítulos, Apéndices y Anexos del Proceso. </w:t>
      </w:r>
    </w:p>
    <w:p w14:paraId="743CEBE4" w14:textId="77777777" w:rsidR="00EB2F4B" w:rsidRPr="00EB2F4B" w:rsidRDefault="00EB2F4B" w:rsidP="00EB2F4B">
      <w:pPr>
        <w:rPr>
          <w:rFonts w:ascii="Garamond" w:hAnsi="Garamond"/>
        </w:rPr>
      </w:pPr>
    </w:p>
    <w:p w14:paraId="60328CF3" w14:textId="77777777" w:rsidR="00EB2F4B" w:rsidRPr="00EB2F4B" w:rsidRDefault="00EB2F4B" w:rsidP="00EB2F4B">
      <w:pPr>
        <w:rPr>
          <w:rFonts w:ascii="Garamond" w:hAnsi="Garamond"/>
        </w:rPr>
      </w:pPr>
      <w:r w:rsidRPr="00EB2F4B">
        <w:rPr>
          <w:rFonts w:ascii="Garamond" w:hAnsi="Garamond"/>
        </w:rPr>
        <w:t xml:space="preserve">La UAERMV deberá verificar, vigilar y controlar que se realicen todas las actividades propias del desarrollo del Convenio, su cumplimiento en cuanto a calidad, alcance, tiempo y presupuesto. </w:t>
      </w:r>
    </w:p>
    <w:p w14:paraId="1E22B6A2" w14:textId="77777777" w:rsidR="00EB2F4B" w:rsidRPr="00EB2F4B" w:rsidRDefault="00EB2F4B" w:rsidP="00EB2F4B">
      <w:pPr>
        <w:rPr>
          <w:rFonts w:ascii="Garamond" w:hAnsi="Garamond"/>
        </w:rPr>
      </w:pPr>
      <w:r w:rsidRPr="00EB2F4B">
        <w:rPr>
          <w:rFonts w:ascii="Garamond" w:hAnsi="Garamond"/>
        </w:rPr>
        <w:t xml:space="preserve">La UAERMV deberá entregar: </w:t>
      </w:r>
    </w:p>
    <w:p w14:paraId="0D39A707" w14:textId="77777777" w:rsidR="00EB2F4B" w:rsidRPr="00EB2F4B" w:rsidRDefault="00EB2F4B" w:rsidP="00EB2F4B">
      <w:pPr>
        <w:rPr>
          <w:rFonts w:ascii="Garamond" w:hAnsi="Garamond"/>
        </w:rPr>
      </w:pPr>
      <w:r w:rsidRPr="00EB2F4B">
        <w:rPr>
          <w:rFonts w:ascii="Garamond" w:hAnsi="Garamond"/>
        </w:rPr>
        <w:t>Se deberá entregar, todos los diagnósticos, y diseños que se generen durante la ejecución del convenio.</w:t>
      </w:r>
    </w:p>
    <w:p w14:paraId="0806CEDE" w14:textId="77777777" w:rsidR="00EB2F4B" w:rsidRPr="00EB2F4B" w:rsidRDefault="00EB2F4B" w:rsidP="00EB2F4B">
      <w:pPr>
        <w:rPr>
          <w:rFonts w:ascii="Garamond" w:hAnsi="Garamond"/>
        </w:rPr>
      </w:pPr>
      <w:r w:rsidRPr="00EB2F4B">
        <w:rPr>
          <w:rFonts w:ascii="Garamond" w:hAnsi="Garamond"/>
        </w:rPr>
        <w:t>Entrega de un documento (hoja de vida del Segmento) donde se demuestre la condición exacta del segmento vial intervenido. (registro fotográfico antes y después, datos iniciales, áreas a intervenidas, actas de vecindad, y demás datos necesarios, los cuales serán registrados en la hoja de vida del segmento, (cuando apliquen).</w:t>
      </w:r>
    </w:p>
    <w:p w14:paraId="37DD28C8" w14:textId="2CE4D138" w:rsidR="00E90D2A" w:rsidRDefault="00E90D2A" w:rsidP="00E90D2A">
      <w:pPr>
        <w:pStyle w:val="Ttulo1"/>
        <w:numPr>
          <w:ilvl w:val="0"/>
          <w:numId w:val="3"/>
        </w:numPr>
        <w:spacing w:before="0" w:after="0"/>
        <w:rPr>
          <w:rFonts w:ascii="Garamond" w:eastAsia="Times New Roman" w:hAnsi="Garamond"/>
          <w:color w:val="auto"/>
          <w:sz w:val="22"/>
          <w:szCs w:val="22"/>
        </w:rPr>
      </w:pPr>
      <w:bookmarkStart w:id="3" w:name="_Toc172295937"/>
      <w:r w:rsidRPr="006E74A5">
        <w:rPr>
          <w:rFonts w:ascii="Garamond" w:eastAsia="Times New Roman" w:hAnsi="Garamond"/>
          <w:color w:val="auto"/>
          <w:sz w:val="22"/>
          <w:szCs w:val="22"/>
        </w:rPr>
        <w:t>INSTANCIAS DE SEGUIMIENTO AL CONVENIO Y A LOS CONTRATOS DERIVADOS</w:t>
      </w:r>
      <w:bookmarkEnd w:id="3"/>
    </w:p>
    <w:p w14:paraId="3A725D7E" w14:textId="77777777" w:rsidR="00E90D2A" w:rsidRDefault="00E90D2A" w:rsidP="00E90D2A">
      <w:pPr>
        <w:spacing w:after="0" w:line="240" w:lineRule="auto"/>
        <w:textAlignment w:val="baseline"/>
        <w:rPr>
          <w:rFonts w:ascii="Garamond" w:hAnsi="Garamond" w:cs="Arial"/>
        </w:rPr>
      </w:pPr>
    </w:p>
    <w:p w14:paraId="507986A3" w14:textId="77777777" w:rsidR="00E90D2A" w:rsidRDefault="00E90D2A" w:rsidP="00E90D2A">
      <w:pPr>
        <w:spacing w:after="0" w:line="240" w:lineRule="auto"/>
        <w:textAlignment w:val="baseline"/>
        <w:rPr>
          <w:rFonts w:ascii="Garamond" w:hAnsi="Garamond" w:cs="Arial"/>
        </w:rPr>
      </w:pPr>
      <w:r w:rsidRPr="006E74A5">
        <w:rPr>
          <w:rFonts w:ascii="Garamond" w:hAnsi="Garamond" w:cs="Arial"/>
        </w:rPr>
        <w:t>El convenio contempla unas instancias de coordinación, seguimiento y recomendaciones, para lo cual se tendrán en cuenta los procesos y procedimientos definidos en el presente anexo técnico:</w:t>
      </w:r>
    </w:p>
    <w:p w14:paraId="612EE937" w14:textId="77777777" w:rsidR="00E90D2A" w:rsidRPr="006E74A5" w:rsidRDefault="00E90D2A" w:rsidP="00E90D2A">
      <w:pPr>
        <w:spacing w:after="0" w:line="240" w:lineRule="auto"/>
        <w:textAlignment w:val="baseline"/>
        <w:rPr>
          <w:rFonts w:ascii="Garamond" w:hAnsi="Garamond" w:cs="Arial"/>
        </w:rPr>
      </w:pPr>
    </w:p>
    <w:p w14:paraId="5FB5C031" w14:textId="77777777" w:rsidR="00E90D2A" w:rsidRPr="006E74A5" w:rsidRDefault="00E90D2A" w:rsidP="00E90D2A">
      <w:pPr>
        <w:pStyle w:val="Ttulo2"/>
        <w:numPr>
          <w:ilvl w:val="1"/>
          <w:numId w:val="3"/>
        </w:numPr>
        <w:spacing w:before="0"/>
        <w:rPr>
          <w:rFonts w:ascii="Garamond" w:hAnsi="Garamond"/>
          <w:sz w:val="22"/>
          <w:szCs w:val="22"/>
        </w:rPr>
      </w:pPr>
      <w:bookmarkStart w:id="4" w:name="_Toc172295938"/>
      <w:bookmarkStart w:id="5" w:name="_Toc170821828"/>
      <w:r w:rsidRPr="006E74A5">
        <w:rPr>
          <w:rFonts w:ascii="Garamond" w:hAnsi="Garamond"/>
          <w:sz w:val="22"/>
          <w:szCs w:val="22"/>
        </w:rPr>
        <w:t>COMITÉ TÉCNICO OPERATIVO</w:t>
      </w:r>
      <w:bookmarkEnd w:id="4"/>
    </w:p>
    <w:p w14:paraId="5A9AF024" w14:textId="77777777" w:rsidR="00E90D2A" w:rsidRDefault="00E90D2A" w:rsidP="00E90D2A">
      <w:pPr>
        <w:pStyle w:val="Sinespaciado"/>
        <w:jc w:val="both"/>
        <w:rPr>
          <w:rFonts w:ascii="Garamond" w:hAnsi="Garamond"/>
          <w:lang w:eastAsia="es-ES"/>
        </w:rPr>
      </w:pPr>
      <w:bookmarkStart w:id="6" w:name="_Toc172295939"/>
    </w:p>
    <w:p w14:paraId="04FB74D7" w14:textId="77777777" w:rsidR="00E90D2A" w:rsidRPr="006E74A5" w:rsidRDefault="00E90D2A" w:rsidP="00E90D2A">
      <w:pPr>
        <w:pStyle w:val="Sinespaciado"/>
        <w:jc w:val="both"/>
        <w:rPr>
          <w:rFonts w:ascii="Garamond" w:hAnsi="Garamond"/>
          <w:lang w:eastAsia="es-ES"/>
        </w:rPr>
      </w:pPr>
      <w:r w:rsidRPr="006E74A5">
        <w:rPr>
          <w:rFonts w:ascii="Garamond" w:hAnsi="Garamond"/>
          <w:lang w:eastAsia="es-ES"/>
        </w:rPr>
        <w:t xml:space="preserve">Una vez suscrita el acta de inicio y previo al inicio de las intervenciones se deberá organizar un Comité Técnico Operativo – CTO, que tendrá a su cargo la planeación, coordinación y seguimiento de las intervenciones. </w:t>
      </w:r>
    </w:p>
    <w:p w14:paraId="3DBE14D4" w14:textId="77777777" w:rsidR="00E90D2A" w:rsidRPr="006E74A5" w:rsidRDefault="00E90D2A" w:rsidP="00E90D2A">
      <w:pPr>
        <w:pStyle w:val="Sinespaciado"/>
        <w:jc w:val="both"/>
        <w:rPr>
          <w:rFonts w:ascii="Garamond" w:hAnsi="Garamond"/>
          <w:lang w:eastAsia="es-ES"/>
        </w:rPr>
      </w:pPr>
    </w:p>
    <w:p w14:paraId="4031CFC0" w14:textId="5EECC4AF" w:rsidR="00E90D2A" w:rsidRPr="006E74A5" w:rsidRDefault="00E90D2A" w:rsidP="00E90D2A">
      <w:pPr>
        <w:pStyle w:val="Sinespaciado"/>
        <w:jc w:val="both"/>
        <w:rPr>
          <w:rFonts w:ascii="Garamond" w:hAnsi="Garamond"/>
          <w:lang w:eastAsia="es-ES"/>
        </w:rPr>
      </w:pPr>
      <w:r w:rsidRPr="006E74A5">
        <w:rPr>
          <w:rFonts w:ascii="Garamond" w:hAnsi="Garamond"/>
          <w:lang w:eastAsia="es-ES"/>
        </w:rPr>
        <w:t xml:space="preserve">El Comité Técnico Operativo del Convenio, es un órgano de seguimiento del Convenio, integrado por los delegados de la FONDO DE DESARROLLO LOCAL DE </w:t>
      </w:r>
      <w:r w:rsidR="00F323CB">
        <w:rPr>
          <w:rFonts w:ascii="Garamond" w:hAnsi="Garamond"/>
          <w:lang w:eastAsia="es-ES"/>
        </w:rPr>
        <w:t>LOS MARTIRES</w:t>
      </w:r>
      <w:r>
        <w:rPr>
          <w:rFonts w:ascii="Garamond" w:hAnsi="Garamond"/>
          <w:lang w:eastAsia="es-ES"/>
        </w:rPr>
        <w:t xml:space="preserve"> </w:t>
      </w:r>
      <w:r w:rsidRPr="006E74A5">
        <w:rPr>
          <w:rFonts w:ascii="Garamond" w:hAnsi="Garamond"/>
          <w:lang w:eastAsia="es-ES"/>
        </w:rPr>
        <w:t>y LA UNIDAD ADMINISTRATIVA ESPECIAL DE REHABILITACIÓN Y MANTENIMIENTO VIAL – UAERMV.</w:t>
      </w:r>
    </w:p>
    <w:p w14:paraId="51FBBE35" w14:textId="77777777" w:rsidR="00E90D2A" w:rsidRPr="006E74A5" w:rsidRDefault="00E90D2A" w:rsidP="00E90D2A">
      <w:pPr>
        <w:pStyle w:val="Sinespaciado"/>
        <w:jc w:val="both"/>
        <w:rPr>
          <w:rFonts w:ascii="Garamond" w:hAnsi="Garamond"/>
          <w:lang w:eastAsia="es-ES"/>
        </w:rPr>
      </w:pPr>
    </w:p>
    <w:bookmarkEnd w:id="5"/>
    <w:bookmarkEnd w:id="6"/>
    <w:p w14:paraId="0E99C9BB" w14:textId="35A7B48D" w:rsidR="00E90D2A" w:rsidRDefault="00E90D2A" w:rsidP="00E90D2A">
      <w:pPr>
        <w:numPr>
          <w:ilvl w:val="0"/>
          <w:numId w:val="50"/>
        </w:numPr>
        <w:spacing w:after="0" w:line="240" w:lineRule="auto"/>
        <w:ind w:left="1068"/>
        <w:rPr>
          <w:rFonts w:ascii="Times New Roman" w:hAnsi="Times New Roman"/>
          <w:bCs/>
          <w:sz w:val="24"/>
          <w:szCs w:val="24"/>
          <w:lang w:val="es-ES_tradnl"/>
        </w:rPr>
      </w:pPr>
    </w:p>
    <w:p w14:paraId="2CC41CA1" w14:textId="77777777" w:rsidR="00BA0D53" w:rsidRPr="008A58A3" w:rsidRDefault="00BA0D53" w:rsidP="00BA0D53">
      <w:pPr>
        <w:numPr>
          <w:ilvl w:val="0"/>
          <w:numId w:val="63"/>
        </w:numPr>
        <w:spacing w:after="0" w:line="240" w:lineRule="auto"/>
        <w:rPr>
          <w:rFonts w:ascii="Garamond" w:hAnsi="Garamond" w:cs="Arial"/>
        </w:rPr>
      </w:pPr>
      <w:bookmarkStart w:id="7" w:name="_Hlk206140003"/>
      <w:r w:rsidRPr="008A58A3">
        <w:rPr>
          <w:rFonts w:ascii="Garamond" w:hAnsi="Garamond" w:cs="Arial"/>
        </w:rPr>
        <w:t>Revisar el avance del convenio y efectuar seguimiento al cumplimiento de actividades, metas y cronogramas establecidos.</w:t>
      </w:r>
    </w:p>
    <w:p w14:paraId="7A8B2520" w14:textId="77777777" w:rsidR="00BA0D53" w:rsidRPr="008A58A3" w:rsidRDefault="00BA0D53" w:rsidP="00BA0D53">
      <w:pPr>
        <w:numPr>
          <w:ilvl w:val="0"/>
          <w:numId w:val="63"/>
        </w:numPr>
        <w:spacing w:after="0" w:line="240" w:lineRule="auto"/>
        <w:ind w:left="1418" w:hanging="284"/>
        <w:rPr>
          <w:rFonts w:ascii="Garamond" w:hAnsi="Garamond" w:cs="Arial"/>
        </w:rPr>
      </w:pPr>
      <w:r w:rsidRPr="008A58A3">
        <w:rPr>
          <w:rFonts w:ascii="Garamond" w:hAnsi="Garamond" w:cs="Arial"/>
        </w:rPr>
        <w:t>Elaborar y aprobar el reglamento del comité técnico operativo</w:t>
      </w:r>
      <w:r>
        <w:rPr>
          <w:rFonts w:ascii="Garamond" w:hAnsi="Garamond" w:cs="Arial"/>
        </w:rPr>
        <w:t>.</w:t>
      </w:r>
    </w:p>
    <w:p w14:paraId="471C3842" w14:textId="77777777" w:rsidR="00BA0D53" w:rsidRPr="008A58A3" w:rsidRDefault="00BA0D53" w:rsidP="00BA0D53">
      <w:pPr>
        <w:numPr>
          <w:ilvl w:val="0"/>
          <w:numId w:val="63"/>
        </w:numPr>
        <w:spacing w:after="0" w:line="240" w:lineRule="auto"/>
        <w:ind w:left="1418" w:hanging="284"/>
        <w:rPr>
          <w:rFonts w:ascii="Garamond" w:hAnsi="Garamond" w:cs="Arial"/>
        </w:rPr>
      </w:pPr>
      <w:r w:rsidRPr="008A58A3">
        <w:rPr>
          <w:rFonts w:ascii="Garamond" w:hAnsi="Garamond" w:cs="Arial"/>
        </w:rPr>
        <w:t>Revisar el avance del convenio y efectuar seguimiento al cumplimiento de actividades, metas y cronogramas establecidos.</w:t>
      </w:r>
    </w:p>
    <w:p w14:paraId="20A70ABA" w14:textId="77777777" w:rsidR="00BA0D53" w:rsidRPr="008A58A3" w:rsidRDefault="00BA0D53" w:rsidP="00BA0D53">
      <w:pPr>
        <w:numPr>
          <w:ilvl w:val="0"/>
          <w:numId w:val="63"/>
        </w:numPr>
        <w:spacing w:after="0" w:line="240" w:lineRule="auto"/>
        <w:ind w:left="1418" w:hanging="284"/>
        <w:rPr>
          <w:rFonts w:ascii="Garamond" w:hAnsi="Garamond" w:cs="Arial"/>
        </w:rPr>
      </w:pPr>
      <w:r w:rsidRPr="008A58A3">
        <w:rPr>
          <w:rFonts w:ascii="Garamond" w:hAnsi="Garamond" w:cs="Arial"/>
        </w:rPr>
        <w:t>Tomar medidas correctivas para corregir las dificultades, en la ejecución de convenio.</w:t>
      </w:r>
    </w:p>
    <w:p w14:paraId="435357BD" w14:textId="77777777" w:rsidR="00BA0D53" w:rsidRPr="008A58A3" w:rsidRDefault="00BA0D53" w:rsidP="00BA0D53">
      <w:pPr>
        <w:numPr>
          <w:ilvl w:val="0"/>
          <w:numId w:val="63"/>
        </w:numPr>
        <w:spacing w:after="0" w:line="240" w:lineRule="auto"/>
        <w:ind w:left="1418" w:hanging="284"/>
        <w:rPr>
          <w:rFonts w:ascii="Garamond" w:hAnsi="Garamond" w:cs="Arial"/>
        </w:rPr>
      </w:pPr>
      <w:r w:rsidRPr="008A58A3">
        <w:rPr>
          <w:rFonts w:ascii="Garamond" w:hAnsi="Garamond" w:cs="Arial"/>
        </w:rPr>
        <w:t>Revisar y recomendar las prórrogas o modificaciones del convenio.</w:t>
      </w:r>
    </w:p>
    <w:p w14:paraId="6F59C327" w14:textId="77777777" w:rsidR="00BA0D53" w:rsidRPr="008A58A3" w:rsidRDefault="00BA0D53" w:rsidP="00BA0D53">
      <w:pPr>
        <w:numPr>
          <w:ilvl w:val="0"/>
          <w:numId w:val="63"/>
        </w:numPr>
        <w:spacing w:after="0" w:line="240" w:lineRule="auto"/>
        <w:ind w:left="1418" w:hanging="284"/>
        <w:rPr>
          <w:rFonts w:ascii="Garamond" w:hAnsi="Garamond" w:cs="Arial"/>
        </w:rPr>
      </w:pPr>
      <w:r w:rsidRPr="008A58A3">
        <w:rPr>
          <w:rFonts w:ascii="Garamond" w:hAnsi="Garamond" w:cs="Arial"/>
        </w:rPr>
        <w:t>Adelantar la planeación de la ejecución del Convenio de sus componentes, etapas y actividades.</w:t>
      </w:r>
    </w:p>
    <w:p w14:paraId="61A092AC" w14:textId="77777777" w:rsidR="00BA0D53" w:rsidRPr="008A58A3" w:rsidRDefault="00BA0D53" w:rsidP="00BA0D53">
      <w:pPr>
        <w:numPr>
          <w:ilvl w:val="0"/>
          <w:numId w:val="63"/>
        </w:numPr>
        <w:spacing w:after="0" w:line="240" w:lineRule="auto"/>
        <w:ind w:left="1418" w:hanging="284"/>
        <w:rPr>
          <w:rFonts w:ascii="Garamond" w:hAnsi="Garamond" w:cs="Arial"/>
        </w:rPr>
      </w:pPr>
      <w:r w:rsidRPr="008A58A3">
        <w:rPr>
          <w:rFonts w:ascii="Garamond" w:hAnsi="Garamond" w:cs="Arial"/>
        </w:rPr>
        <w:t>Diseñar, revisar y aprobar el plan general de trabajo y el cronograma establecido para la ejecución y seguimiento del desarrollo del convenio.</w:t>
      </w:r>
    </w:p>
    <w:p w14:paraId="6827B2B7" w14:textId="77777777" w:rsidR="00BA0D53" w:rsidRPr="008A58A3" w:rsidRDefault="00BA0D53" w:rsidP="00BA0D53">
      <w:pPr>
        <w:numPr>
          <w:ilvl w:val="0"/>
          <w:numId w:val="63"/>
        </w:numPr>
        <w:spacing w:after="0" w:line="240" w:lineRule="auto"/>
        <w:ind w:left="1418" w:hanging="284"/>
        <w:rPr>
          <w:rFonts w:ascii="Garamond" w:hAnsi="Garamond" w:cs="Arial"/>
        </w:rPr>
      </w:pPr>
      <w:r w:rsidRPr="008A58A3">
        <w:rPr>
          <w:rFonts w:ascii="Garamond" w:hAnsi="Garamond" w:cs="Arial"/>
        </w:rPr>
        <w:t xml:space="preserve">Definir los protocolos de entrega y recibo de las actividades desarrolladas por parte de las entidades. </w:t>
      </w:r>
    </w:p>
    <w:p w14:paraId="55FFF557" w14:textId="77777777" w:rsidR="00BA0D53" w:rsidRPr="008A58A3" w:rsidRDefault="00BA0D53" w:rsidP="00BA0D53">
      <w:pPr>
        <w:numPr>
          <w:ilvl w:val="0"/>
          <w:numId w:val="63"/>
        </w:numPr>
        <w:spacing w:after="0" w:line="240" w:lineRule="auto"/>
        <w:ind w:left="1418" w:hanging="284"/>
        <w:rPr>
          <w:rFonts w:ascii="Garamond" w:hAnsi="Garamond" w:cs="Arial"/>
        </w:rPr>
      </w:pPr>
      <w:r w:rsidRPr="008A58A3">
        <w:rPr>
          <w:rFonts w:ascii="Garamond" w:hAnsi="Garamond" w:cs="Arial"/>
        </w:rPr>
        <w:t>Coordinar la ejecución del convenio.</w:t>
      </w:r>
    </w:p>
    <w:p w14:paraId="5773E2CC" w14:textId="77777777" w:rsidR="00BA0D53" w:rsidRPr="008A58A3" w:rsidRDefault="00BA0D53" w:rsidP="00BA0D53">
      <w:pPr>
        <w:numPr>
          <w:ilvl w:val="0"/>
          <w:numId w:val="63"/>
        </w:numPr>
        <w:spacing w:after="0" w:line="240" w:lineRule="auto"/>
        <w:ind w:left="1418" w:hanging="284"/>
        <w:rPr>
          <w:rFonts w:ascii="Garamond" w:hAnsi="Garamond" w:cs="Arial"/>
        </w:rPr>
      </w:pPr>
      <w:r w:rsidRPr="008A58A3">
        <w:rPr>
          <w:rFonts w:ascii="Garamond" w:hAnsi="Garamond" w:cs="Arial"/>
        </w:rPr>
        <w:t>Establecer las actividades y proyectos que se desarrollarán en virtud del convenio.</w:t>
      </w:r>
    </w:p>
    <w:p w14:paraId="13D07DEF" w14:textId="77777777" w:rsidR="00BA0D53" w:rsidRPr="008A58A3" w:rsidRDefault="00BA0D53" w:rsidP="00BA0D53">
      <w:pPr>
        <w:numPr>
          <w:ilvl w:val="0"/>
          <w:numId w:val="63"/>
        </w:numPr>
        <w:spacing w:after="0" w:line="240" w:lineRule="auto"/>
        <w:ind w:left="1418" w:hanging="284"/>
        <w:rPr>
          <w:rFonts w:ascii="Garamond" w:hAnsi="Garamond" w:cs="Arial"/>
        </w:rPr>
      </w:pPr>
      <w:r w:rsidRPr="008A58A3">
        <w:rPr>
          <w:rFonts w:ascii="Garamond" w:hAnsi="Garamond" w:cs="Arial"/>
        </w:rPr>
        <w:t>Verificar el cumplimiento de los compromisos asumidos, por cada una de las partes en el comité anterior.</w:t>
      </w:r>
    </w:p>
    <w:p w14:paraId="407BFACA" w14:textId="77777777" w:rsidR="00BA0D53" w:rsidRPr="008A58A3" w:rsidRDefault="00BA0D53" w:rsidP="00BA0D53">
      <w:pPr>
        <w:numPr>
          <w:ilvl w:val="0"/>
          <w:numId w:val="63"/>
        </w:numPr>
        <w:spacing w:after="0" w:line="240" w:lineRule="auto"/>
        <w:ind w:left="1418" w:hanging="284"/>
        <w:rPr>
          <w:rFonts w:ascii="Garamond" w:hAnsi="Garamond" w:cs="Arial"/>
        </w:rPr>
      </w:pPr>
      <w:r w:rsidRPr="008A58A3">
        <w:rPr>
          <w:rFonts w:ascii="Garamond" w:hAnsi="Garamond" w:cs="Arial"/>
        </w:rPr>
        <w:t>Aprobar, realizar seguimiento y evaluar las actividades del convenio, las cuales serán aprobadas por consenso y la decisión quedará consignada en las actas de reunión. Se llevará un registro de las actividades programadas y se someterá a evaluación periódica.</w:t>
      </w:r>
    </w:p>
    <w:p w14:paraId="6F50DD5D" w14:textId="6F1E8CFC" w:rsidR="00BA0D53" w:rsidRPr="008A58A3" w:rsidRDefault="00BA0D53" w:rsidP="00BA0D53">
      <w:pPr>
        <w:numPr>
          <w:ilvl w:val="0"/>
          <w:numId w:val="63"/>
        </w:numPr>
        <w:spacing w:after="0" w:line="240" w:lineRule="auto"/>
        <w:ind w:left="1418" w:hanging="284"/>
        <w:rPr>
          <w:rFonts w:ascii="Garamond" w:hAnsi="Garamond" w:cs="Arial"/>
        </w:rPr>
      </w:pPr>
      <w:r w:rsidRPr="008A58A3">
        <w:rPr>
          <w:rFonts w:ascii="Garamond" w:hAnsi="Garamond" w:cs="Arial"/>
        </w:rPr>
        <w:t>Aprobar las priorizaciones, así como la determinación de presupuestos (actas de cantidades aprobadas por la supervisión del FDL</w:t>
      </w:r>
      <w:r w:rsidR="00380A04">
        <w:rPr>
          <w:rFonts w:ascii="Garamond" w:hAnsi="Garamond" w:cs="Arial"/>
        </w:rPr>
        <w:t>M</w:t>
      </w:r>
      <w:r w:rsidRPr="008A58A3">
        <w:rPr>
          <w:rFonts w:ascii="Garamond" w:hAnsi="Garamond" w:cs="Arial"/>
        </w:rPr>
        <w:t xml:space="preserve"> y UAERMV), cronogramas y procedimientos, que se requieran para la ejecución del convenio. En el marco del proceso de priorización de los segmentos, el comité técnico operativo, definirá la inclusión, exclusión y/o modificación de estos o la necesidad de obras adicionales.</w:t>
      </w:r>
    </w:p>
    <w:p w14:paraId="0C492BA7" w14:textId="77777777" w:rsidR="00BA0D53" w:rsidRPr="008A58A3" w:rsidRDefault="00BA0D53" w:rsidP="00BA0D53">
      <w:pPr>
        <w:pStyle w:val="Prrafodelista"/>
        <w:numPr>
          <w:ilvl w:val="0"/>
          <w:numId w:val="63"/>
        </w:numPr>
        <w:spacing w:after="0" w:line="240" w:lineRule="auto"/>
        <w:ind w:left="1418" w:hanging="284"/>
        <w:rPr>
          <w:rFonts w:ascii="Garamond" w:hAnsi="Garamond" w:cs="Arial"/>
        </w:rPr>
      </w:pPr>
      <w:r w:rsidRPr="008A58A3">
        <w:rPr>
          <w:rFonts w:ascii="Garamond" w:hAnsi="Garamond" w:cs="Arial"/>
        </w:rPr>
        <w:t>Proponer, crear, analizar y mejorar metodologías y recomendar acciones de mejora</w:t>
      </w:r>
      <w:r>
        <w:rPr>
          <w:rFonts w:ascii="Garamond" w:hAnsi="Garamond" w:cs="Arial"/>
        </w:rPr>
        <w:t>.</w:t>
      </w:r>
    </w:p>
    <w:bookmarkEnd w:id="7"/>
    <w:p w14:paraId="5B7508A0" w14:textId="77777777" w:rsidR="00BA0D53" w:rsidRDefault="00BA0D53" w:rsidP="00BA0D53">
      <w:pPr>
        <w:spacing w:after="0" w:line="240" w:lineRule="auto"/>
        <w:ind w:left="708"/>
        <w:rPr>
          <w:rFonts w:ascii="Times New Roman" w:hAnsi="Times New Roman"/>
          <w:bCs/>
          <w:sz w:val="24"/>
          <w:szCs w:val="24"/>
          <w:lang w:val="es-ES_tradnl"/>
        </w:rPr>
      </w:pPr>
    </w:p>
    <w:p w14:paraId="3CDCB4D2" w14:textId="77777777" w:rsidR="00E90D2A" w:rsidRPr="006E74A5" w:rsidRDefault="00E90D2A" w:rsidP="00E90D2A">
      <w:pPr>
        <w:spacing w:after="0" w:line="240" w:lineRule="auto"/>
        <w:textAlignment w:val="baseline"/>
        <w:rPr>
          <w:rFonts w:ascii="Garamond" w:hAnsi="Garamond" w:cs="Arial"/>
        </w:rPr>
      </w:pPr>
    </w:p>
    <w:p w14:paraId="7A11A45E" w14:textId="77777777" w:rsidR="00E90D2A" w:rsidRDefault="00E90D2A" w:rsidP="00E90D2A">
      <w:pPr>
        <w:spacing w:after="0" w:line="240" w:lineRule="auto"/>
        <w:ind w:left="135"/>
        <w:textAlignment w:val="baseline"/>
        <w:rPr>
          <w:rFonts w:ascii="Garamond" w:hAnsi="Garamond" w:cs="Arial"/>
        </w:rPr>
      </w:pPr>
      <w:r w:rsidRPr="006E74A5">
        <w:rPr>
          <w:rFonts w:ascii="Garamond" w:hAnsi="Garamond" w:cs="Arial"/>
          <w:b/>
          <w:bCs/>
        </w:rPr>
        <w:lastRenderedPageBreak/>
        <w:t>NOTA:</w:t>
      </w:r>
      <w:r w:rsidRPr="006E74A5">
        <w:rPr>
          <w:rFonts w:ascii="Garamond" w:hAnsi="Garamond" w:cs="Arial"/>
        </w:rPr>
        <w:t xml:space="preserve"> El comité operativo no reemplazará las funciones de la supervisión del convenio.</w:t>
      </w:r>
    </w:p>
    <w:p w14:paraId="11DBA050" w14:textId="77777777" w:rsidR="00E90D2A" w:rsidRDefault="00E90D2A" w:rsidP="00E90D2A">
      <w:pPr>
        <w:spacing w:after="0" w:line="240" w:lineRule="auto"/>
        <w:ind w:left="135"/>
        <w:textAlignment w:val="baseline"/>
        <w:rPr>
          <w:rFonts w:ascii="Garamond" w:hAnsi="Garamond" w:cs="Arial"/>
        </w:rPr>
      </w:pPr>
    </w:p>
    <w:p w14:paraId="31A1E1C6" w14:textId="77777777" w:rsidR="00E90D2A" w:rsidRPr="006E74A5" w:rsidRDefault="00E90D2A" w:rsidP="00E90D2A">
      <w:pPr>
        <w:spacing w:after="0" w:line="240" w:lineRule="auto"/>
        <w:ind w:left="135"/>
        <w:textAlignment w:val="baseline"/>
        <w:rPr>
          <w:rFonts w:ascii="Garamond" w:hAnsi="Garamond" w:cs="Arial"/>
        </w:rPr>
      </w:pPr>
    </w:p>
    <w:p w14:paraId="2A5F3210" w14:textId="77777777" w:rsidR="00E90D2A" w:rsidRDefault="00E90D2A" w:rsidP="00E90D2A">
      <w:pPr>
        <w:pStyle w:val="Ttulo3"/>
        <w:numPr>
          <w:ilvl w:val="2"/>
          <w:numId w:val="3"/>
        </w:numPr>
        <w:spacing w:before="0"/>
        <w:rPr>
          <w:rFonts w:ascii="Garamond" w:hAnsi="Garamond"/>
          <w:sz w:val="22"/>
        </w:rPr>
      </w:pPr>
      <w:bookmarkStart w:id="8" w:name="_Toc170821829"/>
      <w:bookmarkStart w:id="9" w:name="_Toc172295940"/>
      <w:r w:rsidRPr="006E74A5">
        <w:rPr>
          <w:rFonts w:ascii="Garamond" w:hAnsi="Garamond"/>
          <w:sz w:val="22"/>
        </w:rPr>
        <w:t xml:space="preserve">Conformación del Comité </w:t>
      </w:r>
      <w:r>
        <w:rPr>
          <w:rFonts w:ascii="Garamond" w:hAnsi="Garamond"/>
          <w:sz w:val="22"/>
        </w:rPr>
        <w:t xml:space="preserve">Técnico </w:t>
      </w:r>
      <w:r w:rsidRPr="006E74A5">
        <w:rPr>
          <w:rFonts w:ascii="Garamond" w:hAnsi="Garamond"/>
          <w:sz w:val="22"/>
        </w:rPr>
        <w:t>Operativo</w:t>
      </w:r>
      <w:bookmarkEnd w:id="8"/>
      <w:bookmarkEnd w:id="9"/>
    </w:p>
    <w:p w14:paraId="21104E15" w14:textId="77777777" w:rsidR="00E90D2A" w:rsidRDefault="00E90D2A" w:rsidP="00E90D2A">
      <w:pPr>
        <w:rPr>
          <w:lang w:val="es-EC" w:eastAsia="en-US"/>
        </w:rPr>
      </w:pPr>
    </w:p>
    <w:p w14:paraId="09902CEF" w14:textId="77777777" w:rsidR="00E90D2A" w:rsidRPr="0087061C" w:rsidRDefault="00E90D2A" w:rsidP="00E90D2A">
      <w:pPr>
        <w:rPr>
          <w:lang w:val="es-EC" w:eastAsia="en-US"/>
        </w:rPr>
      </w:pPr>
      <w:r>
        <w:rPr>
          <w:lang w:val="es-EC" w:eastAsia="en-US"/>
        </w:rPr>
        <w:t xml:space="preserve">Por parte del Fondo de Desarrollo Local: </w:t>
      </w:r>
    </w:p>
    <w:p w14:paraId="7B18943A" w14:textId="77777777" w:rsidR="00E90D2A" w:rsidRPr="0087061C" w:rsidRDefault="00E90D2A" w:rsidP="00E90D2A">
      <w:pPr>
        <w:pStyle w:val="Sinespaciado"/>
        <w:jc w:val="both"/>
        <w:rPr>
          <w:rFonts w:ascii="Garamond" w:hAnsi="Garamond"/>
          <w:lang w:eastAsia="es-ES"/>
        </w:rPr>
      </w:pPr>
      <w:r w:rsidRPr="0087061C">
        <w:rPr>
          <w:rFonts w:ascii="Garamond" w:hAnsi="Garamond"/>
          <w:lang w:eastAsia="es-ES"/>
        </w:rPr>
        <w:t>a. El</w:t>
      </w:r>
      <w:r>
        <w:rPr>
          <w:rFonts w:ascii="Garamond" w:hAnsi="Garamond"/>
          <w:lang w:eastAsia="es-ES"/>
        </w:rPr>
        <w:t xml:space="preserve"> </w:t>
      </w:r>
      <w:r w:rsidRPr="0087061C">
        <w:rPr>
          <w:rFonts w:ascii="Garamond" w:hAnsi="Garamond"/>
          <w:lang w:eastAsia="es-ES"/>
        </w:rPr>
        <w:t>alcalde</w:t>
      </w:r>
      <w:r>
        <w:rPr>
          <w:rFonts w:ascii="Garamond" w:hAnsi="Garamond"/>
          <w:lang w:eastAsia="es-ES"/>
        </w:rPr>
        <w:t xml:space="preserve"> Local </w:t>
      </w:r>
      <w:r w:rsidRPr="0087061C">
        <w:rPr>
          <w:rFonts w:ascii="Garamond" w:hAnsi="Garamond"/>
          <w:lang w:eastAsia="es-ES"/>
        </w:rPr>
        <w:t>o su designado</w:t>
      </w:r>
      <w:r>
        <w:rPr>
          <w:rFonts w:ascii="Garamond" w:hAnsi="Garamond"/>
          <w:lang w:eastAsia="es-ES"/>
        </w:rPr>
        <w:t xml:space="preserve"> (a)</w:t>
      </w:r>
      <w:r w:rsidRPr="0087061C">
        <w:rPr>
          <w:rFonts w:ascii="Garamond" w:hAnsi="Garamond"/>
          <w:lang w:eastAsia="es-ES"/>
        </w:rPr>
        <w:t xml:space="preserve">. </w:t>
      </w:r>
    </w:p>
    <w:p w14:paraId="78FB793E" w14:textId="77777777" w:rsidR="00E90D2A" w:rsidRPr="0087061C" w:rsidRDefault="00E90D2A" w:rsidP="00E90D2A">
      <w:pPr>
        <w:pStyle w:val="Sinespaciado"/>
        <w:jc w:val="both"/>
        <w:rPr>
          <w:rFonts w:ascii="Garamond" w:hAnsi="Garamond"/>
          <w:lang w:eastAsia="es-ES"/>
        </w:rPr>
      </w:pPr>
    </w:p>
    <w:p w14:paraId="6267293F" w14:textId="77777777" w:rsidR="00E90D2A" w:rsidRPr="0087061C" w:rsidRDefault="00E90D2A" w:rsidP="00E90D2A">
      <w:pPr>
        <w:pStyle w:val="Sinespaciado"/>
        <w:jc w:val="both"/>
        <w:rPr>
          <w:rFonts w:ascii="Garamond" w:hAnsi="Garamond"/>
          <w:lang w:eastAsia="es-ES"/>
        </w:rPr>
      </w:pPr>
      <w:r w:rsidRPr="0087061C">
        <w:rPr>
          <w:rFonts w:ascii="Garamond" w:hAnsi="Garamond"/>
          <w:lang w:eastAsia="es-ES"/>
        </w:rPr>
        <w:t xml:space="preserve">b. Dos (2) profesionales con experiencia en las actividades propias del convenio designados </w:t>
      </w:r>
    </w:p>
    <w:p w14:paraId="2AA63B1E" w14:textId="77777777" w:rsidR="00E90D2A" w:rsidRDefault="00E90D2A" w:rsidP="00E90D2A">
      <w:pPr>
        <w:pStyle w:val="Sinespaciado"/>
        <w:jc w:val="both"/>
        <w:rPr>
          <w:rFonts w:ascii="Garamond" w:hAnsi="Garamond"/>
          <w:lang w:eastAsia="es-ES"/>
        </w:rPr>
      </w:pPr>
    </w:p>
    <w:p w14:paraId="4636B096" w14:textId="77777777" w:rsidR="00E90D2A" w:rsidRDefault="00E90D2A" w:rsidP="00E90D2A">
      <w:pPr>
        <w:pStyle w:val="Sinespaciado"/>
        <w:jc w:val="both"/>
        <w:rPr>
          <w:rFonts w:ascii="Garamond" w:hAnsi="Garamond"/>
          <w:lang w:eastAsia="es-ES"/>
        </w:rPr>
      </w:pPr>
      <w:r>
        <w:rPr>
          <w:rFonts w:ascii="Garamond" w:hAnsi="Garamond"/>
          <w:lang w:eastAsia="es-ES"/>
        </w:rPr>
        <w:t xml:space="preserve">Por parte de la </w:t>
      </w:r>
      <w:r w:rsidRPr="0087061C">
        <w:rPr>
          <w:rFonts w:ascii="Garamond" w:hAnsi="Garamond"/>
          <w:lang w:eastAsia="es-ES"/>
        </w:rPr>
        <w:t>UNIDAD ADMINISTRATIVA ESPECIAL DE REHABILITACIÓN Y MANTENIMIENTO VIAL</w:t>
      </w:r>
      <w:r>
        <w:rPr>
          <w:rFonts w:ascii="Garamond" w:hAnsi="Garamond"/>
          <w:lang w:eastAsia="es-ES"/>
        </w:rPr>
        <w:t>:</w:t>
      </w:r>
    </w:p>
    <w:p w14:paraId="3B21374B" w14:textId="77777777" w:rsidR="00E90D2A" w:rsidRPr="0087061C" w:rsidRDefault="00E90D2A" w:rsidP="00E90D2A">
      <w:pPr>
        <w:pStyle w:val="Sinespaciado"/>
        <w:jc w:val="both"/>
        <w:rPr>
          <w:rFonts w:ascii="Garamond" w:hAnsi="Garamond"/>
          <w:lang w:eastAsia="es-ES"/>
        </w:rPr>
      </w:pPr>
    </w:p>
    <w:p w14:paraId="02F4FBA4" w14:textId="6B0AF004" w:rsidR="00E90D2A" w:rsidRPr="00BA0D53" w:rsidRDefault="00BA0D53" w:rsidP="00BA0D53">
      <w:pPr>
        <w:pStyle w:val="Sinespaciado"/>
        <w:ind w:left="1080"/>
        <w:jc w:val="both"/>
        <w:rPr>
          <w:rFonts w:ascii="Garamond" w:hAnsi="Garamond"/>
          <w:lang w:eastAsia="es-ES"/>
        </w:rPr>
      </w:pPr>
      <w:r w:rsidRPr="00BA0D53">
        <w:rPr>
          <w:rFonts w:ascii="Garamond" w:hAnsi="Garamond"/>
          <w:lang w:eastAsia="es-ES"/>
        </w:rPr>
        <w:t xml:space="preserve">El </w:t>
      </w:r>
      <w:proofErr w:type="spellStart"/>
      <w:r w:rsidRPr="00BA0D53">
        <w:rPr>
          <w:rFonts w:ascii="Garamond" w:hAnsi="Garamond"/>
          <w:lang w:eastAsia="es-ES"/>
        </w:rPr>
        <w:t>superviosr</w:t>
      </w:r>
      <w:proofErr w:type="spellEnd"/>
      <w:r w:rsidRPr="00BA0D53">
        <w:rPr>
          <w:rFonts w:ascii="Garamond" w:hAnsi="Garamond"/>
          <w:lang w:eastAsia="es-ES"/>
        </w:rPr>
        <w:t xml:space="preserve"> del </w:t>
      </w:r>
      <w:proofErr w:type="gramStart"/>
      <w:r w:rsidRPr="00BA0D53">
        <w:rPr>
          <w:rFonts w:ascii="Garamond" w:hAnsi="Garamond"/>
          <w:lang w:eastAsia="es-ES"/>
        </w:rPr>
        <w:t xml:space="preserve">convenio </w:t>
      </w:r>
      <w:r w:rsidR="00E90D2A" w:rsidRPr="00BA0D53">
        <w:rPr>
          <w:rFonts w:ascii="Garamond" w:hAnsi="Garamond"/>
          <w:lang w:eastAsia="es-ES"/>
        </w:rPr>
        <w:t xml:space="preserve"> de</w:t>
      </w:r>
      <w:proofErr w:type="gramEnd"/>
      <w:r w:rsidR="00E90D2A" w:rsidRPr="00BA0D53">
        <w:rPr>
          <w:rFonts w:ascii="Garamond" w:hAnsi="Garamond"/>
          <w:lang w:eastAsia="es-ES"/>
        </w:rPr>
        <w:t xml:space="preserve"> la UNIDAD ADMINISTRATIVA ESPECIAL DE REHABILITACIÓN Y MANTENIMIENTO VIAL — UAERMV </w:t>
      </w:r>
    </w:p>
    <w:p w14:paraId="0B6675FC" w14:textId="77777777" w:rsidR="00E90D2A" w:rsidRPr="006E74A5" w:rsidRDefault="00E90D2A" w:rsidP="00E90D2A">
      <w:pPr>
        <w:pStyle w:val="Sinespaciado"/>
        <w:jc w:val="both"/>
        <w:rPr>
          <w:rFonts w:ascii="Garamond" w:hAnsi="Garamond"/>
          <w:lang w:eastAsia="es-ES"/>
        </w:rPr>
      </w:pPr>
      <w:r w:rsidRPr="0087061C">
        <w:rPr>
          <w:rFonts w:ascii="Garamond" w:hAnsi="Garamond"/>
          <w:lang w:eastAsia="es-ES"/>
        </w:rPr>
        <w:t>d. Dos (2) profesionales con experiencia en las actividades propias del convenio designados</w:t>
      </w:r>
    </w:p>
    <w:p w14:paraId="74C8E8E3" w14:textId="77777777" w:rsidR="00E90D2A" w:rsidRPr="006E74A5" w:rsidRDefault="00E90D2A" w:rsidP="00E90D2A">
      <w:pPr>
        <w:spacing w:after="0" w:line="240" w:lineRule="auto"/>
        <w:ind w:right="45"/>
        <w:textAlignment w:val="baseline"/>
        <w:rPr>
          <w:rFonts w:ascii="Garamond" w:hAnsi="Garamond" w:cs="Arial"/>
        </w:rPr>
      </w:pPr>
    </w:p>
    <w:p w14:paraId="5A9B40F8" w14:textId="77777777" w:rsidR="00E90D2A" w:rsidRPr="006E74A5" w:rsidRDefault="00E90D2A" w:rsidP="00E90D2A">
      <w:pPr>
        <w:spacing w:after="0" w:line="240" w:lineRule="auto"/>
        <w:ind w:right="45"/>
        <w:textAlignment w:val="baseline"/>
        <w:rPr>
          <w:rFonts w:ascii="Garamond" w:hAnsi="Garamond" w:cs="Arial"/>
        </w:rPr>
      </w:pPr>
      <w:r w:rsidRPr="006E74A5">
        <w:rPr>
          <w:rFonts w:ascii="Garamond" w:hAnsi="Garamond" w:cs="Arial"/>
        </w:rPr>
        <w:t xml:space="preserve">En el caso que se realicen designaciones por parte de los miembros del comité técnico operativo, estas deberán indicar con precisión la sesión para la cual se designa o si será permanente. Se entenderá para todos los efectos que la delegación o designación conlleva la voz y el voto. </w:t>
      </w:r>
    </w:p>
    <w:p w14:paraId="11184609" w14:textId="77777777" w:rsidR="00E90D2A" w:rsidRPr="006E74A5" w:rsidRDefault="00E90D2A" w:rsidP="00E90D2A">
      <w:pPr>
        <w:spacing w:after="0" w:line="240" w:lineRule="auto"/>
        <w:ind w:right="45"/>
        <w:textAlignment w:val="baseline"/>
        <w:rPr>
          <w:rFonts w:ascii="Garamond" w:hAnsi="Garamond" w:cs="Arial"/>
        </w:rPr>
      </w:pPr>
    </w:p>
    <w:p w14:paraId="6B4375DF" w14:textId="77777777" w:rsidR="00E90D2A" w:rsidRDefault="00E90D2A" w:rsidP="00E90D2A">
      <w:pPr>
        <w:pStyle w:val="Ttulo3"/>
        <w:numPr>
          <w:ilvl w:val="2"/>
          <w:numId w:val="3"/>
        </w:numPr>
        <w:spacing w:before="0"/>
        <w:rPr>
          <w:rFonts w:ascii="Garamond" w:hAnsi="Garamond"/>
          <w:sz w:val="22"/>
        </w:rPr>
      </w:pPr>
      <w:bookmarkStart w:id="10" w:name="_Toc172295941"/>
      <w:r w:rsidRPr="006E74A5">
        <w:rPr>
          <w:rFonts w:ascii="Garamond" w:hAnsi="Garamond"/>
          <w:sz w:val="22"/>
        </w:rPr>
        <w:t>Sesiones del Comité Operativo</w:t>
      </w:r>
      <w:bookmarkEnd w:id="10"/>
    </w:p>
    <w:p w14:paraId="160DEB78" w14:textId="77777777" w:rsidR="00E90D2A" w:rsidRDefault="00E90D2A" w:rsidP="00E90D2A">
      <w:pPr>
        <w:spacing w:after="0" w:line="240" w:lineRule="auto"/>
        <w:textAlignment w:val="baseline"/>
        <w:rPr>
          <w:rFonts w:ascii="Garamond" w:hAnsi="Garamond" w:cs="Arial"/>
        </w:rPr>
      </w:pPr>
    </w:p>
    <w:p w14:paraId="2F0F0D06" w14:textId="77777777" w:rsidR="00E90D2A" w:rsidRPr="006E74A5" w:rsidRDefault="00E90D2A" w:rsidP="00E90D2A">
      <w:pPr>
        <w:spacing w:after="0" w:line="240" w:lineRule="auto"/>
        <w:textAlignment w:val="baseline"/>
        <w:rPr>
          <w:rFonts w:ascii="Garamond" w:hAnsi="Garamond" w:cs="Arial"/>
        </w:rPr>
      </w:pPr>
      <w:r w:rsidRPr="006E74A5">
        <w:rPr>
          <w:rFonts w:ascii="Garamond" w:hAnsi="Garamond" w:cs="Arial"/>
        </w:rPr>
        <w:t>Este comité deberá instalarse y llevar a cabo sus sesiones una vez se dé inicio a la ejecución del convenio.</w:t>
      </w:r>
    </w:p>
    <w:p w14:paraId="6F735C05" w14:textId="77777777" w:rsidR="00E90D2A" w:rsidRDefault="00E90D2A" w:rsidP="00E90D2A">
      <w:pPr>
        <w:spacing w:after="0" w:line="240" w:lineRule="auto"/>
        <w:rPr>
          <w:rFonts w:ascii="Garamond" w:hAnsi="Garamond" w:cs="Segoe UI"/>
          <w:lang w:val="es-MX" w:eastAsia="es-MX"/>
        </w:rPr>
      </w:pPr>
    </w:p>
    <w:p w14:paraId="379E188A" w14:textId="77777777" w:rsidR="00E90D2A" w:rsidRPr="006E74A5" w:rsidRDefault="00E90D2A" w:rsidP="00E90D2A">
      <w:pPr>
        <w:spacing w:after="0" w:line="240" w:lineRule="auto"/>
        <w:rPr>
          <w:rFonts w:ascii="Garamond" w:hAnsi="Garamond" w:cs="Segoe UI"/>
          <w:lang w:val="es-MX" w:eastAsia="es-MX"/>
        </w:rPr>
      </w:pPr>
      <w:r w:rsidRPr="006E74A5">
        <w:rPr>
          <w:rFonts w:ascii="Garamond" w:hAnsi="Garamond" w:cs="Segoe UI"/>
          <w:lang w:val="es-MX" w:eastAsia="es-MX"/>
        </w:rPr>
        <w:t>El Comité, deberá reunirse como mínimo una vez al mes, según el plazo estipulado en el convenio o cuando alguna de las partes lo convoque, para resolver situaciones que requieran la atención o decisión de los integrantes. De las reuniones, se levantarán actas firmadas por los asistentes nombrados, donde se consignarán los acuerdos y compromisos.</w:t>
      </w:r>
    </w:p>
    <w:p w14:paraId="47202F30" w14:textId="77777777" w:rsidR="00E90D2A" w:rsidRDefault="00E90D2A" w:rsidP="00E90D2A">
      <w:pPr>
        <w:spacing w:after="0" w:line="240" w:lineRule="auto"/>
        <w:textAlignment w:val="baseline"/>
        <w:rPr>
          <w:rFonts w:ascii="Garamond" w:hAnsi="Garamond" w:cs="Arial"/>
        </w:rPr>
      </w:pPr>
    </w:p>
    <w:p w14:paraId="38BF2219" w14:textId="77777777" w:rsidR="00E90D2A" w:rsidRPr="006E74A5" w:rsidRDefault="00E90D2A" w:rsidP="00E90D2A">
      <w:pPr>
        <w:spacing w:after="0" w:line="240" w:lineRule="auto"/>
        <w:textAlignment w:val="baseline"/>
        <w:rPr>
          <w:rFonts w:ascii="Garamond" w:hAnsi="Garamond" w:cs="Arial"/>
        </w:rPr>
      </w:pPr>
      <w:r w:rsidRPr="006E74A5">
        <w:rPr>
          <w:rFonts w:ascii="Garamond" w:hAnsi="Garamond" w:cs="Arial"/>
        </w:rPr>
        <w:t>El quorum para deliberar y decidir en el marco del citado comité es la mitad más uno de sus miembros y sus decisiones constarán en actas suscritas por quienes participen en la sesión.</w:t>
      </w:r>
    </w:p>
    <w:p w14:paraId="178BF4DF" w14:textId="77777777" w:rsidR="00E90D2A" w:rsidRPr="006E74A5" w:rsidRDefault="00E90D2A" w:rsidP="00E90D2A">
      <w:pPr>
        <w:spacing w:after="0" w:line="240" w:lineRule="auto"/>
        <w:textAlignment w:val="baseline"/>
        <w:rPr>
          <w:rFonts w:ascii="Garamond" w:hAnsi="Garamond" w:cs="Arial"/>
        </w:rPr>
      </w:pPr>
    </w:p>
    <w:p w14:paraId="6F3DD60B" w14:textId="77777777" w:rsidR="00E90D2A" w:rsidRDefault="00E90D2A" w:rsidP="00E90D2A">
      <w:pPr>
        <w:spacing w:after="0" w:line="240" w:lineRule="auto"/>
        <w:rPr>
          <w:rFonts w:ascii="Garamond" w:hAnsi="Garamond" w:cs="Segoe UI"/>
          <w:lang w:val="es-MX" w:eastAsia="es-MX"/>
        </w:rPr>
      </w:pPr>
      <w:r w:rsidRPr="006E74A5">
        <w:rPr>
          <w:rFonts w:ascii="Garamond" w:hAnsi="Garamond" w:cs="Segoe UI"/>
          <w:lang w:val="es-MX" w:eastAsia="es-MX"/>
        </w:rPr>
        <w:t>El Comité Técnico, tendrá un secretario permanente, quien será el encargado de citar reuniones, llevar actas y comunicar a las partes, el desarrollo del convenio. Igualmente tendrá un Coordinador o Relator, quien será el encargado de moderar las reuniones.</w:t>
      </w:r>
    </w:p>
    <w:p w14:paraId="32494554" w14:textId="77777777" w:rsidR="00E90D2A" w:rsidRPr="006E74A5" w:rsidRDefault="00E90D2A" w:rsidP="00E90D2A">
      <w:pPr>
        <w:spacing w:after="0" w:line="240" w:lineRule="auto"/>
        <w:rPr>
          <w:rFonts w:ascii="Garamond" w:hAnsi="Garamond" w:cs="Segoe UI"/>
          <w:lang w:val="es-MX" w:eastAsia="es-MX"/>
        </w:rPr>
      </w:pPr>
    </w:p>
    <w:p w14:paraId="3FF57F8F" w14:textId="77777777" w:rsidR="00E90D2A" w:rsidRPr="006E74A5" w:rsidRDefault="00E90D2A" w:rsidP="00E90D2A">
      <w:pPr>
        <w:pStyle w:val="Sinespaciado"/>
        <w:jc w:val="both"/>
        <w:rPr>
          <w:rFonts w:ascii="Garamond" w:hAnsi="Garamond"/>
          <w:lang w:eastAsia="es-ES"/>
        </w:rPr>
      </w:pPr>
      <w:r w:rsidRPr="006E74A5">
        <w:rPr>
          <w:rFonts w:ascii="Garamond" w:hAnsi="Garamond"/>
          <w:lang w:eastAsia="es-ES"/>
        </w:rPr>
        <w:t>En caso de que algún miembro del comité no pueda concurrir a las reuniones respectivas, lo hará en su lugar un delegado, previamente designado por el (los) ordenador (es) del gasto, quien, en este caso, tendrá los mismos derechos y atribuciones del titular. De acuerdo con lo anterior, el delegado deberá contar con el poder suficiente de decisión y disposición.</w:t>
      </w:r>
    </w:p>
    <w:p w14:paraId="482B54D6" w14:textId="77777777" w:rsidR="00E90D2A" w:rsidRPr="006E74A5" w:rsidRDefault="00E90D2A" w:rsidP="00E90D2A">
      <w:pPr>
        <w:pStyle w:val="Sinespaciado"/>
        <w:jc w:val="both"/>
        <w:rPr>
          <w:rFonts w:ascii="Garamond" w:hAnsi="Garamond"/>
          <w:lang w:eastAsia="es-ES"/>
        </w:rPr>
      </w:pPr>
    </w:p>
    <w:p w14:paraId="41625EF3" w14:textId="43E5C61F" w:rsidR="00E90D2A" w:rsidRPr="006E74A5" w:rsidRDefault="00E90D2A" w:rsidP="00E90D2A">
      <w:pPr>
        <w:pStyle w:val="Sinespaciado"/>
        <w:jc w:val="both"/>
        <w:rPr>
          <w:rFonts w:ascii="Garamond" w:hAnsi="Garamond"/>
          <w:lang w:eastAsia="es-ES"/>
        </w:rPr>
      </w:pPr>
      <w:r w:rsidRPr="006E74A5">
        <w:rPr>
          <w:rFonts w:ascii="Garamond" w:hAnsi="Garamond"/>
          <w:lang w:eastAsia="es-ES"/>
        </w:rPr>
        <w:t>Si el Comité Técnico Operativo lo considera pertinente, podrán asistir como invitados personas expertas en temas relacionados con el objeto del Convenio o de entidades relacionadas con los sectores vinculados con las intervenciones priorizadas, según se identifique por parte de l</w:t>
      </w:r>
      <w:r>
        <w:rPr>
          <w:rFonts w:ascii="Garamond" w:hAnsi="Garamond"/>
          <w:lang w:eastAsia="es-ES"/>
        </w:rPr>
        <w:t xml:space="preserve">a FONDO DE DESARROLLO LOCAL DE </w:t>
      </w:r>
      <w:r w:rsidR="00F323CB">
        <w:rPr>
          <w:rFonts w:ascii="Garamond" w:hAnsi="Garamond"/>
          <w:lang w:eastAsia="es-ES"/>
        </w:rPr>
        <w:t>LOS MARTIRES</w:t>
      </w:r>
      <w:r>
        <w:rPr>
          <w:rFonts w:ascii="Garamond" w:hAnsi="Garamond"/>
          <w:lang w:eastAsia="es-ES"/>
        </w:rPr>
        <w:t xml:space="preserve"> </w:t>
      </w:r>
      <w:r w:rsidRPr="006E74A5">
        <w:rPr>
          <w:rFonts w:ascii="Garamond" w:hAnsi="Garamond"/>
          <w:lang w:eastAsia="es-ES"/>
        </w:rPr>
        <w:t xml:space="preserve">en el documento técnico de soporte generado o como resultado del debate de las mesas técnicas del comité o del seguimiento del convenio o de las solicitudes realizadas con la comunidad. En cualquier caso, la citación será realizada por el FONDO DE DESARROLLO LOCAL DE </w:t>
      </w:r>
      <w:r w:rsidR="00F323CB">
        <w:rPr>
          <w:rFonts w:ascii="Garamond" w:hAnsi="Garamond"/>
          <w:lang w:eastAsia="es-ES"/>
        </w:rPr>
        <w:t>LOS MARTIRES</w:t>
      </w:r>
      <w:r w:rsidRPr="006E74A5">
        <w:rPr>
          <w:rFonts w:ascii="Garamond" w:hAnsi="Garamond"/>
          <w:lang w:eastAsia="es-ES"/>
        </w:rPr>
        <w:t>. Los invitados en todo caso tendrán voz, pero no voto.</w:t>
      </w:r>
    </w:p>
    <w:p w14:paraId="75E15582" w14:textId="77777777" w:rsidR="00E90D2A" w:rsidRPr="006E74A5" w:rsidRDefault="00E90D2A" w:rsidP="00E90D2A">
      <w:pPr>
        <w:pStyle w:val="Sinespaciado"/>
        <w:jc w:val="both"/>
        <w:rPr>
          <w:rFonts w:ascii="Garamond" w:hAnsi="Garamond"/>
          <w:lang w:eastAsia="es-ES"/>
        </w:rPr>
      </w:pPr>
    </w:p>
    <w:p w14:paraId="609A5622" w14:textId="375D7ECA" w:rsidR="00E90D2A" w:rsidRDefault="00E90D2A" w:rsidP="00E90D2A">
      <w:pPr>
        <w:pStyle w:val="Sinespaciado"/>
        <w:jc w:val="both"/>
        <w:rPr>
          <w:rFonts w:ascii="Garamond" w:hAnsi="Garamond"/>
          <w:lang w:eastAsia="es-ES"/>
        </w:rPr>
      </w:pPr>
      <w:r w:rsidRPr="006E74A5">
        <w:rPr>
          <w:rFonts w:ascii="Garamond" w:hAnsi="Garamond"/>
          <w:lang w:eastAsia="es-ES"/>
        </w:rPr>
        <w:lastRenderedPageBreak/>
        <w:t xml:space="preserve">El Comité Técnico Operativo tendrá reuniones con periodicidad mensual, y la Secretaría Técnica estará a cargo de la FONDO DE DESARROLLO LOCAL DE </w:t>
      </w:r>
      <w:r w:rsidR="00F323CB">
        <w:rPr>
          <w:rFonts w:ascii="Garamond" w:hAnsi="Garamond"/>
          <w:lang w:eastAsia="es-ES"/>
        </w:rPr>
        <w:t>LOS MARTIRES</w:t>
      </w:r>
      <w:r w:rsidRPr="006E74A5">
        <w:rPr>
          <w:rFonts w:ascii="Garamond" w:hAnsi="Garamond"/>
          <w:lang w:eastAsia="es-ES"/>
        </w:rPr>
        <w:t xml:space="preserve"> a través del SUPERVISOR O DELEGADO, quien mantendrá memoria de actas y realizará las convocatorias pertinentes.</w:t>
      </w:r>
    </w:p>
    <w:p w14:paraId="1BE74493" w14:textId="77777777" w:rsidR="00E90D2A" w:rsidRDefault="00E90D2A" w:rsidP="00E90D2A">
      <w:pPr>
        <w:pStyle w:val="Sinespaciado"/>
        <w:jc w:val="both"/>
        <w:rPr>
          <w:rFonts w:ascii="Garamond" w:hAnsi="Garamond"/>
          <w:lang w:eastAsia="es-ES"/>
        </w:rPr>
      </w:pPr>
    </w:p>
    <w:p w14:paraId="123E764D" w14:textId="77777777" w:rsidR="00E90D2A" w:rsidRDefault="00E90D2A" w:rsidP="00E90D2A">
      <w:pPr>
        <w:pStyle w:val="Sinespaciado"/>
        <w:jc w:val="both"/>
        <w:rPr>
          <w:rFonts w:ascii="Garamond" w:hAnsi="Garamond"/>
          <w:lang w:eastAsia="es-ES"/>
        </w:rPr>
      </w:pPr>
    </w:p>
    <w:p w14:paraId="014D129C" w14:textId="77777777" w:rsidR="00E90D2A" w:rsidRDefault="00E90D2A" w:rsidP="00E90D2A">
      <w:pPr>
        <w:pStyle w:val="Sinespaciado"/>
        <w:jc w:val="both"/>
        <w:rPr>
          <w:rFonts w:ascii="Garamond" w:eastAsia="Calibri" w:hAnsi="Garamond" w:cstheme="majorHAnsi"/>
        </w:rPr>
      </w:pPr>
      <w:r w:rsidRPr="00CB61DE">
        <w:rPr>
          <w:rFonts w:ascii="Garamond" w:eastAsia="Calibri" w:hAnsi="Garamond" w:cstheme="majorHAnsi"/>
          <w:b/>
          <w:bCs/>
        </w:rPr>
        <w:t>Nota</w:t>
      </w:r>
      <w:r w:rsidRPr="00CB61DE">
        <w:rPr>
          <w:rFonts w:ascii="Garamond" w:eastAsia="Calibri" w:hAnsi="Garamond" w:cstheme="majorHAnsi"/>
        </w:rPr>
        <w:t>: En la fase de ejecución de las obras el comité técnico operativo deberá revisar los costos de las actividades y los presupuestos estimados para cada tipo de intervención; y a su vez, en caso de ser necesario deberá evaluar y/o aprobar los ajustes de los mismos</w:t>
      </w:r>
      <w:r>
        <w:rPr>
          <w:rFonts w:ascii="Garamond" w:eastAsia="Calibri" w:hAnsi="Garamond" w:cstheme="majorHAnsi"/>
        </w:rPr>
        <w:t xml:space="preserve"> y/o costos de nuevos ítems y/o actividades</w:t>
      </w:r>
      <w:r w:rsidRPr="00CB61DE">
        <w:rPr>
          <w:rFonts w:ascii="Garamond" w:eastAsia="Calibri" w:hAnsi="Garamond" w:cstheme="majorHAnsi"/>
        </w:rPr>
        <w:t xml:space="preserve">, con el fin de redefinir el alcance en las metas para cada </w:t>
      </w:r>
      <w:r>
        <w:rPr>
          <w:rFonts w:ascii="Garamond" w:eastAsia="Calibri" w:hAnsi="Garamond" w:cstheme="majorHAnsi"/>
        </w:rPr>
        <w:t>T</w:t>
      </w:r>
      <w:r w:rsidRPr="00CB61DE">
        <w:rPr>
          <w:rFonts w:ascii="Garamond" w:eastAsia="Calibri" w:hAnsi="Garamond" w:cstheme="majorHAnsi"/>
        </w:rPr>
        <w:t>ipo de actividad.</w:t>
      </w:r>
    </w:p>
    <w:p w14:paraId="04CFABB7" w14:textId="77777777" w:rsidR="00E90D2A" w:rsidRPr="00CB61DE" w:rsidRDefault="00E90D2A" w:rsidP="00E90D2A">
      <w:pPr>
        <w:pStyle w:val="Sinespaciado"/>
        <w:jc w:val="both"/>
        <w:rPr>
          <w:rFonts w:ascii="Garamond" w:eastAsia="Calibri" w:hAnsi="Garamond" w:cstheme="majorHAnsi"/>
        </w:rPr>
      </w:pPr>
    </w:p>
    <w:p w14:paraId="19C8C530" w14:textId="1DA6C46A" w:rsidR="00E90D2A" w:rsidRDefault="00E90D2A" w:rsidP="00E90D2A">
      <w:pPr>
        <w:pStyle w:val="Ttulo1"/>
        <w:numPr>
          <w:ilvl w:val="0"/>
          <w:numId w:val="3"/>
        </w:numPr>
        <w:spacing w:before="0" w:after="0"/>
        <w:rPr>
          <w:rFonts w:ascii="Garamond" w:hAnsi="Garamond"/>
          <w:color w:val="auto"/>
          <w:sz w:val="22"/>
          <w:szCs w:val="22"/>
        </w:rPr>
      </w:pPr>
      <w:bookmarkStart w:id="11" w:name="_Toc172295946"/>
      <w:r w:rsidRPr="006E74A5">
        <w:rPr>
          <w:rFonts w:ascii="Garamond" w:hAnsi="Garamond"/>
          <w:color w:val="auto"/>
          <w:sz w:val="22"/>
          <w:szCs w:val="22"/>
        </w:rPr>
        <w:t>MARCO NORMATIVO</w:t>
      </w:r>
    </w:p>
    <w:p w14:paraId="46418922" w14:textId="77777777" w:rsidR="00E90D2A" w:rsidRPr="00FA658F" w:rsidRDefault="00E90D2A" w:rsidP="00E90D2A"/>
    <w:p w14:paraId="5B36B282" w14:textId="77777777" w:rsidR="00E90D2A" w:rsidRPr="006E74A5" w:rsidRDefault="00E90D2A" w:rsidP="00E90D2A">
      <w:pPr>
        <w:pBdr>
          <w:top w:val="nil"/>
          <w:left w:val="nil"/>
          <w:bottom w:val="nil"/>
          <w:right w:val="nil"/>
          <w:between w:val="nil"/>
        </w:pBdr>
        <w:spacing w:after="0" w:line="240" w:lineRule="auto"/>
        <w:rPr>
          <w:rFonts w:ascii="Garamond" w:eastAsia="Calibri" w:hAnsi="Garamond" w:cstheme="majorHAnsi"/>
        </w:rPr>
      </w:pPr>
      <w:r w:rsidRPr="00FA658F">
        <w:rPr>
          <w:rFonts w:ascii="Garamond" w:eastAsia="Calibri" w:hAnsi="Garamond" w:cstheme="majorHAnsi"/>
        </w:rPr>
        <w:t>El presente Anexo Técnico contiene los aspectos más relevantes a tener en cuenta en los convenios interadministrativos para realizar intervenciones en el Espacio Público para la Movilidad (EPM), que se celebren entre la Unidad Administrativa de Rehabilitación y Mantenimiento Vial, más conocida como U</w:t>
      </w:r>
      <w:r>
        <w:rPr>
          <w:rFonts w:ascii="Garamond" w:eastAsia="Calibri" w:hAnsi="Garamond" w:cstheme="majorHAnsi"/>
        </w:rPr>
        <w:t>AER</w:t>
      </w:r>
      <w:r w:rsidRPr="00FA658F">
        <w:rPr>
          <w:rFonts w:ascii="Garamond" w:eastAsia="Calibri" w:hAnsi="Garamond" w:cstheme="majorHAnsi"/>
        </w:rPr>
        <w:t xml:space="preserve">MV y las diferentes entidades del Distrito Capital que tienen dentro sus competencias realizar intervenciones en el Espacio Público para la Movilidad, perteneciente al Sistema de Movilidad (Art. 92. </w:t>
      </w:r>
      <w:r>
        <w:rPr>
          <w:rFonts w:ascii="Garamond" w:eastAsia="Calibri" w:hAnsi="Garamond" w:cstheme="majorHAnsi"/>
        </w:rPr>
        <w:t xml:space="preserve">Decreto 555 del 2021) </w:t>
      </w:r>
    </w:p>
    <w:p w14:paraId="5C6AFC97" w14:textId="77777777" w:rsidR="00E90D2A" w:rsidRPr="006E74A5" w:rsidRDefault="00E90D2A" w:rsidP="00E90D2A">
      <w:pPr>
        <w:pBdr>
          <w:top w:val="nil"/>
          <w:left w:val="nil"/>
          <w:bottom w:val="nil"/>
          <w:right w:val="nil"/>
          <w:between w:val="nil"/>
        </w:pBdr>
        <w:spacing w:after="0" w:line="240" w:lineRule="auto"/>
        <w:rPr>
          <w:rFonts w:ascii="Garamond" w:eastAsia="Calibri" w:hAnsi="Garamond" w:cstheme="majorHAnsi"/>
        </w:rPr>
      </w:pPr>
      <w:r w:rsidRPr="006E74A5">
        <w:rPr>
          <w:rFonts w:ascii="Garamond" w:eastAsia="Calibri" w:hAnsi="Garamond" w:cstheme="majorHAnsi"/>
        </w:rPr>
        <w:t xml:space="preserve">A continuación, presentamos los artículos del </w:t>
      </w:r>
      <w:r>
        <w:rPr>
          <w:rFonts w:ascii="Garamond" w:eastAsia="Calibri" w:hAnsi="Garamond" w:cstheme="majorHAnsi"/>
        </w:rPr>
        <w:t xml:space="preserve">Decreto 555 del </w:t>
      </w:r>
      <w:proofErr w:type="gramStart"/>
      <w:r>
        <w:rPr>
          <w:rFonts w:ascii="Garamond" w:eastAsia="Calibri" w:hAnsi="Garamond" w:cstheme="majorHAnsi"/>
        </w:rPr>
        <w:t xml:space="preserve">2021 </w:t>
      </w:r>
      <w:r w:rsidRPr="006E74A5">
        <w:rPr>
          <w:rFonts w:ascii="Garamond" w:eastAsia="Calibri" w:hAnsi="Garamond" w:cstheme="majorHAnsi"/>
        </w:rPr>
        <w:t xml:space="preserve"> que</w:t>
      </w:r>
      <w:proofErr w:type="gramEnd"/>
      <w:r w:rsidRPr="006E74A5">
        <w:rPr>
          <w:rFonts w:ascii="Garamond" w:eastAsia="Calibri" w:hAnsi="Garamond" w:cstheme="majorHAnsi"/>
        </w:rPr>
        <w:t xml:space="preserve"> proporcionan los conceptos en los que se enmarca el presente convenio, así como de los artículos aplicables:</w:t>
      </w:r>
    </w:p>
    <w:p w14:paraId="0F69251E" w14:textId="77777777" w:rsidR="00E90D2A" w:rsidRDefault="00E90D2A" w:rsidP="00E90D2A">
      <w:pPr>
        <w:pBdr>
          <w:top w:val="nil"/>
          <w:left w:val="nil"/>
          <w:bottom w:val="nil"/>
          <w:right w:val="nil"/>
          <w:between w:val="nil"/>
        </w:pBdr>
        <w:spacing w:after="0" w:line="240" w:lineRule="auto"/>
        <w:rPr>
          <w:rFonts w:ascii="Garamond" w:eastAsia="Calibri" w:hAnsi="Garamond" w:cstheme="majorHAnsi"/>
        </w:rPr>
      </w:pPr>
    </w:p>
    <w:p w14:paraId="4FC1B7D4" w14:textId="77777777" w:rsidR="00E90D2A" w:rsidRPr="00FA658F" w:rsidRDefault="00E90D2A" w:rsidP="00E90D2A">
      <w:pPr>
        <w:pStyle w:val="Prrafodelista"/>
        <w:numPr>
          <w:ilvl w:val="0"/>
          <w:numId w:val="58"/>
        </w:numPr>
        <w:spacing w:after="0" w:line="240" w:lineRule="auto"/>
        <w:jc w:val="left"/>
        <w:textDirection w:val="btLr"/>
        <w:rPr>
          <w:rFonts w:ascii="Garamond" w:hAnsi="Garamond" w:cstheme="majorHAnsi"/>
        </w:rPr>
      </w:pPr>
      <w:r w:rsidRPr="00FA658F">
        <w:rPr>
          <w:rFonts w:ascii="Garamond" w:eastAsia="Arial Narrow" w:hAnsi="Garamond" w:cstheme="majorHAnsi"/>
          <w:b/>
        </w:rPr>
        <w:t>P.O.T.  Art. 88. Estructura funcional y del cuidado</w:t>
      </w:r>
    </w:p>
    <w:p w14:paraId="55B6283D" w14:textId="77777777" w:rsidR="00E90D2A" w:rsidRPr="006E74A5" w:rsidRDefault="00E90D2A" w:rsidP="00E90D2A">
      <w:pPr>
        <w:spacing w:after="0" w:line="240" w:lineRule="auto"/>
        <w:textDirection w:val="btLr"/>
        <w:rPr>
          <w:rFonts w:ascii="Garamond" w:hAnsi="Garamond" w:cstheme="majorHAnsi"/>
        </w:rPr>
      </w:pPr>
    </w:p>
    <w:p w14:paraId="48329F66" w14:textId="77777777" w:rsidR="00E90D2A" w:rsidRPr="006E74A5" w:rsidRDefault="00E90D2A" w:rsidP="00E90D2A">
      <w:pPr>
        <w:pBdr>
          <w:top w:val="nil"/>
          <w:left w:val="nil"/>
          <w:bottom w:val="nil"/>
          <w:right w:val="nil"/>
          <w:between w:val="nil"/>
        </w:pBdr>
        <w:spacing w:after="0" w:line="240" w:lineRule="auto"/>
        <w:ind w:left="1276"/>
        <w:rPr>
          <w:rFonts w:ascii="Garamond" w:eastAsia="Calibri" w:hAnsi="Garamond" w:cstheme="majorHAnsi"/>
        </w:rPr>
      </w:pPr>
      <w:r w:rsidRPr="006E74A5">
        <w:rPr>
          <w:rFonts w:ascii="Garamond" w:eastAsia="Calibri" w:hAnsi="Garamond" w:cstheme="majorHAnsi"/>
        </w:rPr>
        <w:t xml:space="preserve">Componentes: </w:t>
      </w:r>
    </w:p>
    <w:p w14:paraId="5919F3D4" w14:textId="77777777" w:rsidR="00E90D2A" w:rsidRPr="00FA658F" w:rsidRDefault="00E90D2A" w:rsidP="00E90D2A">
      <w:pPr>
        <w:pBdr>
          <w:top w:val="nil"/>
          <w:left w:val="nil"/>
          <w:bottom w:val="nil"/>
          <w:right w:val="nil"/>
          <w:between w:val="nil"/>
        </w:pBdr>
        <w:spacing w:after="0" w:line="240" w:lineRule="auto"/>
        <w:ind w:left="1416"/>
        <w:rPr>
          <w:rFonts w:ascii="Garamond" w:eastAsia="Calibri" w:hAnsi="Garamond" w:cstheme="majorHAnsi"/>
        </w:rPr>
      </w:pPr>
    </w:p>
    <w:p w14:paraId="53ABFBCF" w14:textId="77777777" w:rsidR="00E90D2A" w:rsidRPr="00FA658F" w:rsidRDefault="00E90D2A" w:rsidP="00E90D2A">
      <w:pPr>
        <w:pStyle w:val="Prrafodelista"/>
        <w:widowControl w:val="0"/>
        <w:numPr>
          <w:ilvl w:val="0"/>
          <w:numId w:val="57"/>
        </w:numPr>
        <w:autoSpaceDE w:val="0"/>
        <w:autoSpaceDN w:val="0"/>
        <w:adjustRightInd w:val="0"/>
        <w:spacing w:after="0" w:line="240" w:lineRule="auto"/>
        <w:ind w:left="2136"/>
        <w:jc w:val="left"/>
        <w:textDirection w:val="btLr"/>
        <w:rPr>
          <w:rFonts w:ascii="Garamond" w:hAnsi="Garamond" w:cstheme="majorHAnsi"/>
        </w:rPr>
      </w:pPr>
      <w:r w:rsidRPr="00FA658F">
        <w:rPr>
          <w:rFonts w:ascii="Garamond" w:eastAsia="Calibri" w:hAnsi="Garamond" w:cstheme="majorHAnsi"/>
        </w:rPr>
        <w:t>Sistema de Espacio Público Peatonal para el Encuentro.</w:t>
      </w:r>
    </w:p>
    <w:p w14:paraId="07E80E57" w14:textId="77777777" w:rsidR="00E90D2A" w:rsidRPr="00FA658F" w:rsidRDefault="00E90D2A" w:rsidP="00E90D2A">
      <w:pPr>
        <w:pStyle w:val="Prrafodelista"/>
        <w:widowControl w:val="0"/>
        <w:numPr>
          <w:ilvl w:val="0"/>
          <w:numId w:val="57"/>
        </w:numPr>
        <w:autoSpaceDE w:val="0"/>
        <w:autoSpaceDN w:val="0"/>
        <w:adjustRightInd w:val="0"/>
        <w:spacing w:after="0" w:line="240" w:lineRule="auto"/>
        <w:ind w:left="2136"/>
        <w:jc w:val="left"/>
        <w:textDirection w:val="btLr"/>
        <w:rPr>
          <w:rFonts w:ascii="Garamond" w:eastAsia="Calibri" w:hAnsi="Garamond" w:cstheme="majorHAnsi"/>
        </w:rPr>
      </w:pPr>
      <w:r w:rsidRPr="00FA658F">
        <w:rPr>
          <w:rFonts w:ascii="Garamond" w:eastAsia="Calibri" w:hAnsi="Garamond" w:cstheme="majorHAnsi"/>
        </w:rPr>
        <w:t>Sistema de Movilidad.</w:t>
      </w:r>
    </w:p>
    <w:p w14:paraId="6C7AE6C9" w14:textId="77777777" w:rsidR="00E90D2A" w:rsidRPr="00FA658F" w:rsidRDefault="00E90D2A" w:rsidP="00E90D2A">
      <w:pPr>
        <w:pStyle w:val="Prrafodelista"/>
        <w:widowControl w:val="0"/>
        <w:numPr>
          <w:ilvl w:val="0"/>
          <w:numId w:val="57"/>
        </w:numPr>
        <w:autoSpaceDE w:val="0"/>
        <w:autoSpaceDN w:val="0"/>
        <w:adjustRightInd w:val="0"/>
        <w:spacing w:after="0" w:line="240" w:lineRule="auto"/>
        <w:ind w:left="2136"/>
        <w:jc w:val="left"/>
        <w:textDirection w:val="btLr"/>
        <w:rPr>
          <w:rFonts w:ascii="Garamond" w:hAnsi="Garamond" w:cstheme="majorHAnsi"/>
        </w:rPr>
      </w:pPr>
      <w:r w:rsidRPr="00FA658F">
        <w:rPr>
          <w:rFonts w:ascii="Garamond" w:eastAsia="Calibri" w:hAnsi="Garamond" w:cstheme="majorHAnsi"/>
        </w:rPr>
        <w:t>Sistema del Cuidado y de Servicios Sociales</w:t>
      </w:r>
    </w:p>
    <w:p w14:paraId="41F49C4A" w14:textId="77777777" w:rsidR="00E90D2A" w:rsidRPr="00FA658F" w:rsidRDefault="00E90D2A" w:rsidP="00E90D2A">
      <w:pPr>
        <w:pStyle w:val="Prrafodelista"/>
        <w:widowControl w:val="0"/>
        <w:numPr>
          <w:ilvl w:val="0"/>
          <w:numId w:val="57"/>
        </w:numPr>
        <w:autoSpaceDE w:val="0"/>
        <w:autoSpaceDN w:val="0"/>
        <w:adjustRightInd w:val="0"/>
        <w:spacing w:after="0" w:line="240" w:lineRule="auto"/>
        <w:ind w:left="2136"/>
        <w:jc w:val="left"/>
        <w:textDirection w:val="btLr"/>
        <w:rPr>
          <w:rFonts w:ascii="Garamond" w:hAnsi="Garamond" w:cstheme="majorHAnsi"/>
        </w:rPr>
      </w:pPr>
      <w:r w:rsidRPr="00FA658F">
        <w:rPr>
          <w:rFonts w:ascii="Garamond" w:eastAsia="Calibri" w:hAnsi="Garamond" w:cstheme="majorHAnsi"/>
        </w:rPr>
        <w:t>Sistemas de Servicios Públicos.</w:t>
      </w:r>
    </w:p>
    <w:p w14:paraId="601C92AE" w14:textId="77777777" w:rsidR="00E90D2A" w:rsidRPr="006E74A5" w:rsidRDefault="00E90D2A" w:rsidP="00E90D2A">
      <w:pPr>
        <w:pBdr>
          <w:top w:val="nil"/>
          <w:left w:val="nil"/>
          <w:bottom w:val="nil"/>
          <w:right w:val="nil"/>
          <w:between w:val="nil"/>
        </w:pBdr>
        <w:spacing w:after="0" w:line="240" w:lineRule="auto"/>
        <w:rPr>
          <w:rFonts w:ascii="Garamond" w:eastAsia="Calibri" w:hAnsi="Garamond" w:cstheme="majorHAnsi"/>
        </w:rPr>
      </w:pPr>
    </w:p>
    <w:p w14:paraId="43340835" w14:textId="77777777" w:rsidR="00E90D2A" w:rsidRPr="00FA658F" w:rsidRDefault="00E90D2A" w:rsidP="00E90D2A">
      <w:pPr>
        <w:pStyle w:val="Prrafodelista"/>
        <w:numPr>
          <w:ilvl w:val="0"/>
          <w:numId w:val="58"/>
        </w:numPr>
        <w:spacing w:after="0" w:line="240" w:lineRule="auto"/>
        <w:jc w:val="left"/>
        <w:textDirection w:val="btLr"/>
        <w:rPr>
          <w:rFonts w:ascii="Garamond" w:hAnsi="Garamond" w:cstheme="majorHAnsi"/>
        </w:rPr>
      </w:pPr>
      <w:r w:rsidRPr="00FA658F">
        <w:rPr>
          <w:rFonts w:ascii="Garamond" w:eastAsia="Arial Narrow" w:hAnsi="Garamond" w:cstheme="majorHAnsi"/>
          <w:b/>
        </w:rPr>
        <w:t>P.O.T.  Art. 92. Sistema de Movilidad</w:t>
      </w:r>
    </w:p>
    <w:p w14:paraId="3E2BC1C8" w14:textId="77777777" w:rsidR="00E90D2A" w:rsidRPr="006E74A5" w:rsidRDefault="00E90D2A" w:rsidP="00E90D2A">
      <w:pPr>
        <w:pBdr>
          <w:top w:val="nil"/>
          <w:left w:val="nil"/>
          <w:bottom w:val="nil"/>
          <w:right w:val="nil"/>
          <w:between w:val="nil"/>
        </w:pBdr>
        <w:spacing w:after="0" w:line="240" w:lineRule="auto"/>
        <w:jc w:val="center"/>
        <w:rPr>
          <w:rFonts w:ascii="Garamond" w:eastAsia="Calibri" w:hAnsi="Garamond" w:cstheme="majorHAnsi"/>
        </w:rPr>
      </w:pPr>
    </w:p>
    <w:p w14:paraId="2FB5D80B" w14:textId="77777777" w:rsidR="00E90D2A" w:rsidRPr="006E74A5" w:rsidRDefault="00E90D2A" w:rsidP="00E90D2A">
      <w:pPr>
        <w:pBdr>
          <w:top w:val="nil"/>
          <w:left w:val="nil"/>
          <w:bottom w:val="nil"/>
          <w:right w:val="nil"/>
          <w:between w:val="nil"/>
        </w:pBdr>
        <w:spacing w:after="0" w:line="240" w:lineRule="auto"/>
        <w:ind w:left="1276"/>
        <w:rPr>
          <w:rFonts w:ascii="Garamond" w:eastAsia="Calibri" w:hAnsi="Garamond" w:cstheme="majorHAnsi"/>
        </w:rPr>
      </w:pPr>
      <w:r w:rsidRPr="006E74A5">
        <w:rPr>
          <w:rFonts w:ascii="Garamond" w:eastAsia="Calibri" w:hAnsi="Garamond" w:cstheme="majorHAnsi"/>
        </w:rPr>
        <w:t xml:space="preserve">Componentes: </w:t>
      </w:r>
    </w:p>
    <w:p w14:paraId="6E2DF549" w14:textId="77777777" w:rsidR="00E90D2A" w:rsidRPr="006E74A5" w:rsidRDefault="00E90D2A" w:rsidP="00E90D2A">
      <w:pPr>
        <w:pBdr>
          <w:top w:val="nil"/>
          <w:left w:val="nil"/>
          <w:bottom w:val="nil"/>
          <w:right w:val="nil"/>
          <w:between w:val="nil"/>
        </w:pBdr>
        <w:spacing w:after="0" w:line="240" w:lineRule="auto"/>
        <w:ind w:left="1276"/>
        <w:rPr>
          <w:rFonts w:ascii="Garamond" w:eastAsia="Calibri" w:hAnsi="Garamond" w:cstheme="majorHAnsi"/>
        </w:rPr>
      </w:pPr>
    </w:p>
    <w:p w14:paraId="7427E2CF" w14:textId="77777777" w:rsidR="00E90D2A" w:rsidRPr="006E74A5" w:rsidRDefault="00E90D2A" w:rsidP="00E90D2A">
      <w:pPr>
        <w:pStyle w:val="Prrafodelista"/>
        <w:widowControl w:val="0"/>
        <w:numPr>
          <w:ilvl w:val="0"/>
          <w:numId w:val="51"/>
        </w:numPr>
        <w:autoSpaceDE w:val="0"/>
        <w:autoSpaceDN w:val="0"/>
        <w:adjustRightInd w:val="0"/>
        <w:spacing w:after="0" w:line="240" w:lineRule="auto"/>
        <w:jc w:val="left"/>
        <w:textDirection w:val="btLr"/>
        <w:rPr>
          <w:rFonts w:ascii="Garamond" w:eastAsia="Calibri" w:hAnsi="Garamond" w:cstheme="majorHAnsi"/>
        </w:rPr>
      </w:pPr>
      <w:r w:rsidRPr="006E74A5">
        <w:rPr>
          <w:rFonts w:ascii="Garamond" w:eastAsia="Calibri" w:hAnsi="Garamond" w:cstheme="majorHAnsi"/>
        </w:rPr>
        <w:t>Espacio Público para la Movilidad</w:t>
      </w:r>
    </w:p>
    <w:p w14:paraId="3935119E" w14:textId="77777777" w:rsidR="00E90D2A" w:rsidRPr="006E74A5" w:rsidRDefault="00E90D2A" w:rsidP="00E90D2A">
      <w:pPr>
        <w:pStyle w:val="Prrafodelista"/>
        <w:widowControl w:val="0"/>
        <w:numPr>
          <w:ilvl w:val="0"/>
          <w:numId w:val="54"/>
        </w:numPr>
        <w:autoSpaceDE w:val="0"/>
        <w:autoSpaceDN w:val="0"/>
        <w:adjustRightInd w:val="0"/>
        <w:spacing w:after="0" w:line="240" w:lineRule="auto"/>
        <w:jc w:val="left"/>
        <w:textDirection w:val="btLr"/>
        <w:rPr>
          <w:rFonts w:ascii="Garamond" w:eastAsia="Calibri" w:hAnsi="Garamond" w:cstheme="majorHAnsi"/>
          <w:bCs/>
        </w:rPr>
      </w:pPr>
      <w:r w:rsidRPr="006E74A5">
        <w:rPr>
          <w:rFonts w:ascii="Garamond" w:eastAsia="Calibri" w:hAnsi="Garamond" w:cstheme="majorHAnsi"/>
          <w:bCs/>
        </w:rPr>
        <w:t>Red de infraestructura peatonal,</w:t>
      </w:r>
    </w:p>
    <w:p w14:paraId="43F19BF6" w14:textId="77777777" w:rsidR="00E90D2A" w:rsidRPr="006E74A5" w:rsidRDefault="00E90D2A" w:rsidP="00E90D2A">
      <w:pPr>
        <w:pStyle w:val="Prrafodelista"/>
        <w:widowControl w:val="0"/>
        <w:numPr>
          <w:ilvl w:val="0"/>
          <w:numId w:val="54"/>
        </w:numPr>
        <w:autoSpaceDE w:val="0"/>
        <w:autoSpaceDN w:val="0"/>
        <w:adjustRightInd w:val="0"/>
        <w:spacing w:after="0" w:line="240" w:lineRule="auto"/>
        <w:jc w:val="left"/>
        <w:textDirection w:val="btLr"/>
        <w:rPr>
          <w:rFonts w:ascii="Garamond" w:hAnsi="Garamond" w:cstheme="majorHAnsi"/>
          <w:bCs/>
        </w:rPr>
      </w:pPr>
      <w:r w:rsidRPr="006E74A5">
        <w:rPr>
          <w:rFonts w:ascii="Garamond" w:eastAsia="Calibri" w:hAnsi="Garamond" w:cstheme="majorHAnsi"/>
          <w:bCs/>
        </w:rPr>
        <w:t xml:space="preserve">la red de </w:t>
      </w:r>
      <w:proofErr w:type="spellStart"/>
      <w:r w:rsidRPr="006E74A5">
        <w:rPr>
          <w:rFonts w:ascii="Garamond" w:eastAsia="Calibri" w:hAnsi="Garamond" w:cstheme="majorHAnsi"/>
          <w:bCs/>
        </w:rPr>
        <w:t>cicloinfraestructura</w:t>
      </w:r>
      <w:proofErr w:type="spellEnd"/>
      <w:r w:rsidRPr="006E74A5">
        <w:rPr>
          <w:rFonts w:ascii="Garamond" w:eastAsia="Calibri" w:hAnsi="Garamond" w:cstheme="majorHAnsi"/>
          <w:bCs/>
        </w:rPr>
        <w:t xml:space="preserve">  </w:t>
      </w:r>
    </w:p>
    <w:p w14:paraId="26F903BC" w14:textId="77777777" w:rsidR="00E90D2A" w:rsidRPr="006E74A5" w:rsidRDefault="00E90D2A" w:rsidP="00E90D2A">
      <w:pPr>
        <w:pStyle w:val="Prrafodelista"/>
        <w:widowControl w:val="0"/>
        <w:numPr>
          <w:ilvl w:val="0"/>
          <w:numId w:val="54"/>
        </w:numPr>
        <w:autoSpaceDE w:val="0"/>
        <w:autoSpaceDN w:val="0"/>
        <w:adjustRightInd w:val="0"/>
        <w:spacing w:after="0" w:line="240" w:lineRule="auto"/>
        <w:jc w:val="left"/>
        <w:textDirection w:val="btLr"/>
        <w:rPr>
          <w:rFonts w:ascii="Garamond" w:hAnsi="Garamond" w:cstheme="majorHAnsi"/>
          <w:bCs/>
        </w:rPr>
      </w:pPr>
      <w:r w:rsidRPr="006E74A5">
        <w:rPr>
          <w:rFonts w:ascii="Garamond" w:eastAsia="Calibri" w:hAnsi="Garamond" w:cstheme="majorHAnsi"/>
          <w:bCs/>
        </w:rPr>
        <w:t>La red vial:</w:t>
      </w:r>
    </w:p>
    <w:p w14:paraId="3A111532" w14:textId="77777777" w:rsidR="00E90D2A" w:rsidRPr="006E74A5" w:rsidRDefault="00E90D2A" w:rsidP="00E90D2A">
      <w:pPr>
        <w:pStyle w:val="Prrafodelista"/>
        <w:widowControl w:val="0"/>
        <w:numPr>
          <w:ilvl w:val="0"/>
          <w:numId w:val="55"/>
        </w:numPr>
        <w:autoSpaceDE w:val="0"/>
        <w:autoSpaceDN w:val="0"/>
        <w:adjustRightInd w:val="0"/>
        <w:spacing w:after="0" w:line="240" w:lineRule="auto"/>
        <w:ind w:left="2977"/>
        <w:jc w:val="left"/>
        <w:textDirection w:val="btLr"/>
        <w:rPr>
          <w:rFonts w:ascii="Garamond" w:hAnsi="Garamond" w:cstheme="majorHAnsi"/>
          <w:bCs/>
        </w:rPr>
      </w:pPr>
      <w:r>
        <w:rPr>
          <w:rFonts w:ascii="Garamond" w:eastAsia="Calibri" w:hAnsi="Garamond" w:cstheme="majorHAnsi"/>
          <w:bCs/>
        </w:rPr>
        <w:t>M</w:t>
      </w:r>
      <w:r w:rsidRPr="006E74A5">
        <w:rPr>
          <w:rFonts w:ascii="Garamond" w:eastAsia="Calibri" w:hAnsi="Garamond" w:cstheme="majorHAnsi"/>
          <w:bCs/>
        </w:rPr>
        <w:t>alla arterial de integración regional</w:t>
      </w:r>
    </w:p>
    <w:p w14:paraId="3C66E719" w14:textId="77777777" w:rsidR="00E90D2A" w:rsidRPr="006E74A5" w:rsidRDefault="00E90D2A" w:rsidP="00E90D2A">
      <w:pPr>
        <w:pStyle w:val="Prrafodelista"/>
        <w:widowControl w:val="0"/>
        <w:numPr>
          <w:ilvl w:val="0"/>
          <w:numId w:val="55"/>
        </w:numPr>
        <w:autoSpaceDE w:val="0"/>
        <w:autoSpaceDN w:val="0"/>
        <w:adjustRightInd w:val="0"/>
        <w:spacing w:after="0" w:line="240" w:lineRule="auto"/>
        <w:ind w:left="2977"/>
        <w:jc w:val="left"/>
        <w:textDirection w:val="btLr"/>
        <w:rPr>
          <w:rFonts w:ascii="Garamond" w:hAnsi="Garamond" w:cstheme="majorHAnsi"/>
          <w:bCs/>
        </w:rPr>
      </w:pPr>
      <w:r>
        <w:rPr>
          <w:rFonts w:ascii="Garamond" w:eastAsia="Calibri" w:hAnsi="Garamond" w:cstheme="majorHAnsi"/>
          <w:bCs/>
        </w:rPr>
        <w:t>a</w:t>
      </w:r>
      <w:r w:rsidRPr="006E74A5">
        <w:rPr>
          <w:rFonts w:ascii="Garamond" w:eastAsia="Calibri" w:hAnsi="Garamond" w:cstheme="majorHAnsi"/>
          <w:bCs/>
        </w:rPr>
        <w:t>rterial</w:t>
      </w:r>
    </w:p>
    <w:p w14:paraId="52BC6BF1" w14:textId="77777777" w:rsidR="00E90D2A" w:rsidRPr="006E74A5" w:rsidRDefault="00E90D2A" w:rsidP="00E90D2A">
      <w:pPr>
        <w:pStyle w:val="Prrafodelista"/>
        <w:widowControl w:val="0"/>
        <w:numPr>
          <w:ilvl w:val="0"/>
          <w:numId w:val="55"/>
        </w:numPr>
        <w:autoSpaceDE w:val="0"/>
        <w:autoSpaceDN w:val="0"/>
        <w:adjustRightInd w:val="0"/>
        <w:spacing w:after="0" w:line="240" w:lineRule="auto"/>
        <w:ind w:left="2977"/>
        <w:jc w:val="left"/>
        <w:textDirection w:val="btLr"/>
        <w:rPr>
          <w:rFonts w:ascii="Garamond" w:hAnsi="Garamond" w:cstheme="majorHAnsi"/>
          <w:bCs/>
        </w:rPr>
      </w:pPr>
      <w:r>
        <w:rPr>
          <w:rFonts w:ascii="Garamond" w:eastAsia="Calibri" w:hAnsi="Garamond" w:cstheme="majorHAnsi"/>
          <w:bCs/>
        </w:rPr>
        <w:t>I</w:t>
      </w:r>
      <w:r w:rsidRPr="006E74A5">
        <w:rPr>
          <w:rFonts w:ascii="Garamond" w:eastAsia="Calibri" w:hAnsi="Garamond" w:cstheme="majorHAnsi"/>
          <w:bCs/>
        </w:rPr>
        <w:t xml:space="preserve">ntermedia </w:t>
      </w:r>
    </w:p>
    <w:p w14:paraId="2185EFCB" w14:textId="77777777" w:rsidR="00E90D2A" w:rsidRPr="006E74A5" w:rsidRDefault="00E90D2A" w:rsidP="00E90D2A">
      <w:pPr>
        <w:pStyle w:val="Prrafodelista"/>
        <w:widowControl w:val="0"/>
        <w:numPr>
          <w:ilvl w:val="0"/>
          <w:numId w:val="55"/>
        </w:numPr>
        <w:autoSpaceDE w:val="0"/>
        <w:autoSpaceDN w:val="0"/>
        <w:adjustRightInd w:val="0"/>
        <w:spacing w:after="0" w:line="240" w:lineRule="auto"/>
        <w:ind w:left="2977"/>
        <w:jc w:val="left"/>
        <w:textDirection w:val="btLr"/>
        <w:rPr>
          <w:rFonts w:ascii="Garamond" w:hAnsi="Garamond" w:cstheme="majorHAnsi"/>
          <w:bCs/>
        </w:rPr>
      </w:pPr>
      <w:r>
        <w:rPr>
          <w:rFonts w:ascii="Garamond" w:eastAsia="Calibri" w:hAnsi="Garamond" w:cstheme="majorHAnsi"/>
          <w:bCs/>
        </w:rPr>
        <w:t>L</w:t>
      </w:r>
      <w:r w:rsidRPr="006E74A5">
        <w:rPr>
          <w:rFonts w:ascii="Garamond" w:eastAsia="Calibri" w:hAnsi="Garamond" w:cstheme="majorHAnsi"/>
          <w:bCs/>
        </w:rPr>
        <w:t xml:space="preserve">ocal </w:t>
      </w:r>
    </w:p>
    <w:p w14:paraId="2A4D0029" w14:textId="77777777" w:rsidR="00E90D2A" w:rsidRPr="006E74A5" w:rsidRDefault="00E90D2A" w:rsidP="00E90D2A">
      <w:pPr>
        <w:pStyle w:val="Prrafodelista"/>
        <w:widowControl w:val="0"/>
        <w:numPr>
          <w:ilvl w:val="0"/>
          <w:numId w:val="55"/>
        </w:numPr>
        <w:autoSpaceDE w:val="0"/>
        <w:autoSpaceDN w:val="0"/>
        <w:adjustRightInd w:val="0"/>
        <w:spacing w:after="0" w:line="240" w:lineRule="auto"/>
        <w:ind w:left="2977"/>
        <w:jc w:val="left"/>
        <w:textDirection w:val="btLr"/>
        <w:rPr>
          <w:rFonts w:ascii="Garamond" w:hAnsi="Garamond" w:cstheme="majorHAnsi"/>
          <w:bCs/>
        </w:rPr>
      </w:pPr>
      <w:r>
        <w:rPr>
          <w:rFonts w:ascii="Garamond" w:eastAsia="Calibri" w:hAnsi="Garamond" w:cstheme="majorHAnsi"/>
          <w:bCs/>
        </w:rPr>
        <w:t>L</w:t>
      </w:r>
      <w:r w:rsidRPr="006E74A5">
        <w:rPr>
          <w:rFonts w:ascii="Garamond" w:eastAsia="Calibri" w:hAnsi="Garamond" w:cstheme="majorHAnsi"/>
          <w:bCs/>
        </w:rPr>
        <w:t>as vías rurales.</w:t>
      </w:r>
    </w:p>
    <w:p w14:paraId="670BEE52" w14:textId="77777777" w:rsidR="00E90D2A" w:rsidRPr="006E74A5" w:rsidRDefault="00E90D2A" w:rsidP="00E90D2A">
      <w:pPr>
        <w:pStyle w:val="Prrafodelista"/>
        <w:widowControl w:val="0"/>
        <w:numPr>
          <w:ilvl w:val="0"/>
          <w:numId w:val="55"/>
        </w:numPr>
        <w:autoSpaceDE w:val="0"/>
        <w:autoSpaceDN w:val="0"/>
        <w:adjustRightInd w:val="0"/>
        <w:spacing w:after="0" w:line="240" w:lineRule="auto"/>
        <w:ind w:left="2977"/>
        <w:jc w:val="left"/>
        <w:textDirection w:val="btLr"/>
        <w:rPr>
          <w:rFonts w:ascii="Garamond" w:hAnsi="Garamond" w:cstheme="majorHAnsi"/>
          <w:bCs/>
        </w:rPr>
      </w:pPr>
      <w:r w:rsidRPr="006E74A5">
        <w:rPr>
          <w:rFonts w:ascii="Garamond" w:eastAsia="Calibri" w:hAnsi="Garamond" w:cstheme="majorHAnsi"/>
          <w:bCs/>
        </w:rPr>
        <w:t>Red del Transporte Público de Pasajeros</w:t>
      </w:r>
    </w:p>
    <w:p w14:paraId="4FC2C04A" w14:textId="77777777" w:rsidR="00E90D2A" w:rsidRPr="006E74A5" w:rsidRDefault="00E90D2A" w:rsidP="00E90D2A">
      <w:pPr>
        <w:pStyle w:val="Prrafodelista"/>
        <w:widowControl w:val="0"/>
        <w:numPr>
          <w:ilvl w:val="0"/>
          <w:numId w:val="51"/>
        </w:numPr>
        <w:autoSpaceDE w:val="0"/>
        <w:autoSpaceDN w:val="0"/>
        <w:adjustRightInd w:val="0"/>
        <w:spacing w:after="0" w:line="240" w:lineRule="auto"/>
        <w:jc w:val="left"/>
        <w:textDirection w:val="btLr"/>
        <w:rPr>
          <w:rFonts w:ascii="Garamond" w:eastAsia="Calibri" w:hAnsi="Garamond" w:cstheme="majorHAnsi"/>
        </w:rPr>
      </w:pPr>
      <w:r w:rsidRPr="006E74A5">
        <w:rPr>
          <w:rFonts w:ascii="Garamond" w:eastAsia="Calibri" w:hAnsi="Garamond" w:cstheme="majorHAnsi"/>
        </w:rPr>
        <w:t>Red de Transporte Aéreo.</w:t>
      </w:r>
    </w:p>
    <w:p w14:paraId="7D57C46D" w14:textId="77777777" w:rsidR="00E90D2A" w:rsidRPr="006E74A5" w:rsidRDefault="00E90D2A" w:rsidP="00E90D2A">
      <w:pPr>
        <w:pStyle w:val="Prrafodelista"/>
        <w:widowControl w:val="0"/>
        <w:numPr>
          <w:ilvl w:val="0"/>
          <w:numId w:val="51"/>
        </w:numPr>
        <w:autoSpaceDE w:val="0"/>
        <w:autoSpaceDN w:val="0"/>
        <w:adjustRightInd w:val="0"/>
        <w:spacing w:after="0" w:line="240" w:lineRule="auto"/>
        <w:jc w:val="left"/>
        <w:textDirection w:val="btLr"/>
        <w:rPr>
          <w:rFonts w:ascii="Garamond" w:eastAsia="Calibri" w:hAnsi="Garamond" w:cstheme="majorHAnsi"/>
        </w:rPr>
      </w:pPr>
      <w:r w:rsidRPr="006E74A5">
        <w:rPr>
          <w:rFonts w:ascii="Garamond" w:eastAsia="Calibri" w:hAnsi="Garamond" w:cstheme="majorHAnsi"/>
        </w:rPr>
        <w:t>Red de Transporte de Carga y para la Actividad Logística</w:t>
      </w:r>
    </w:p>
    <w:p w14:paraId="2B1778DE" w14:textId="77777777" w:rsidR="00E90D2A" w:rsidRPr="006E74A5" w:rsidRDefault="00E90D2A" w:rsidP="00E90D2A">
      <w:pPr>
        <w:pBdr>
          <w:top w:val="nil"/>
          <w:left w:val="nil"/>
          <w:bottom w:val="nil"/>
          <w:right w:val="nil"/>
          <w:between w:val="nil"/>
        </w:pBdr>
        <w:spacing w:after="0" w:line="240" w:lineRule="auto"/>
        <w:jc w:val="center"/>
        <w:rPr>
          <w:rFonts w:ascii="Garamond" w:eastAsia="Calibri" w:hAnsi="Garamond" w:cstheme="majorHAnsi"/>
        </w:rPr>
      </w:pPr>
    </w:p>
    <w:p w14:paraId="3E84AC73" w14:textId="77777777" w:rsidR="00E90D2A" w:rsidRPr="00FA658F" w:rsidRDefault="00E90D2A" w:rsidP="00E90D2A">
      <w:pPr>
        <w:pStyle w:val="Prrafodelista"/>
        <w:numPr>
          <w:ilvl w:val="0"/>
          <w:numId w:val="59"/>
        </w:numPr>
        <w:spacing w:after="0" w:line="240" w:lineRule="auto"/>
        <w:jc w:val="left"/>
        <w:textDirection w:val="btLr"/>
        <w:rPr>
          <w:rFonts w:ascii="Garamond" w:hAnsi="Garamond" w:cstheme="majorHAnsi"/>
        </w:rPr>
      </w:pPr>
      <w:r w:rsidRPr="00FA658F">
        <w:rPr>
          <w:rFonts w:ascii="Garamond" w:eastAsia="Arial Narrow" w:hAnsi="Garamond" w:cstheme="majorHAnsi"/>
          <w:b/>
        </w:rPr>
        <w:t xml:space="preserve">P.O.T.  Art. 93. </w:t>
      </w:r>
      <w:r w:rsidRPr="00FA658F">
        <w:rPr>
          <w:rFonts w:ascii="Garamond" w:eastAsia="Arial" w:hAnsi="Garamond" w:cstheme="majorHAnsi"/>
          <w:b/>
          <w:highlight w:val="white"/>
        </w:rPr>
        <w:t>Estrategias del Sistema de Movilidad</w:t>
      </w:r>
    </w:p>
    <w:p w14:paraId="02D87C6A" w14:textId="77777777" w:rsidR="00E90D2A" w:rsidRPr="006E74A5" w:rsidRDefault="00E90D2A" w:rsidP="00E90D2A">
      <w:pPr>
        <w:spacing w:after="0" w:line="240" w:lineRule="auto"/>
        <w:textDirection w:val="btLr"/>
        <w:rPr>
          <w:rFonts w:ascii="Garamond" w:eastAsia="Calibri" w:hAnsi="Garamond" w:cstheme="majorHAnsi"/>
        </w:rPr>
      </w:pPr>
    </w:p>
    <w:p w14:paraId="4629B0AB" w14:textId="77777777" w:rsidR="00E90D2A" w:rsidRPr="006E74A5" w:rsidRDefault="00E90D2A" w:rsidP="00E90D2A">
      <w:pPr>
        <w:spacing w:after="0" w:line="240" w:lineRule="auto"/>
        <w:ind w:left="993" w:hanging="284"/>
        <w:textDirection w:val="btLr"/>
        <w:rPr>
          <w:rFonts w:ascii="Garamond" w:hAnsi="Garamond" w:cstheme="majorHAnsi"/>
        </w:rPr>
      </w:pPr>
      <w:r w:rsidRPr="006E74A5">
        <w:rPr>
          <w:rFonts w:ascii="Garamond" w:eastAsia="Arial" w:hAnsi="Garamond" w:cstheme="majorHAnsi"/>
        </w:rPr>
        <w:t>1. </w:t>
      </w:r>
      <w:r w:rsidRPr="006E74A5">
        <w:rPr>
          <w:rFonts w:ascii="Garamond" w:eastAsia="Arial" w:hAnsi="Garamond" w:cstheme="majorHAnsi"/>
          <w:b/>
        </w:rPr>
        <w:t>Optimizar y completar las infraestructuras para la movilidad</w:t>
      </w:r>
    </w:p>
    <w:p w14:paraId="486B78DF" w14:textId="77777777" w:rsidR="00E90D2A" w:rsidRPr="006E74A5" w:rsidRDefault="00E90D2A" w:rsidP="00E90D2A">
      <w:pPr>
        <w:spacing w:after="0" w:line="240" w:lineRule="auto"/>
        <w:ind w:left="1418" w:hanging="284"/>
        <w:textDirection w:val="btLr"/>
        <w:rPr>
          <w:rFonts w:ascii="Garamond" w:hAnsi="Garamond" w:cstheme="majorHAnsi"/>
        </w:rPr>
      </w:pPr>
      <w:r w:rsidRPr="006E74A5">
        <w:rPr>
          <w:rFonts w:ascii="Garamond" w:eastAsia="Arial" w:hAnsi="Garamond" w:cstheme="majorHAnsi"/>
          <w:b/>
        </w:rPr>
        <w:t> </w:t>
      </w:r>
    </w:p>
    <w:p w14:paraId="5E08F14E" w14:textId="77777777" w:rsidR="00E90D2A" w:rsidRPr="006E74A5" w:rsidRDefault="00E90D2A" w:rsidP="00E90D2A">
      <w:pPr>
        <w:pStyle w:val="Prrafodelista"/>
        <w:widowControl w:val="0"/>
        <w:numPr>
          <w:ilvl w:val="0"/>
          <w:numId w:val="52"/>
        </w:numPr>
        <w:autoSpaceDE w:val="0"/>
        <w:autoSpaceDN w:val="0"/>
        <w:adjustRightInd w:val="0"/>
        <w:spacing w:after="0" w:line="240" w:lineRule="auto"/>
        <w:ind w:left="1418" w:hanging="284"/>
        <w:textDirection w:val="btLr"/>
        <w:rPr>
          <w:rFonts w:ascii="Garamond" w:hAnsi="Garamond" w:cstheme="majorHAnsi"/>
        </w:rPr>
      </w:pPr>
      <w:r w:rsidRPr="006E74A5">
        <w:rPr>
          <w:rFonts w:ascii="Garamond" w:eastAsia="Arial" w:hAnsi="Garamond" w:cstheme="majorHAnsi"/>
        </w:rPr>
        <w:t>Consolidación de una red de infraestructura peatonal. </w:t>
      </w:r>
    </w:p>
    <w:p w14:paraId="181E2590" w14:textId="77777777" w:rsidR="00E90D2A" w:rsidRPr="006E74A5" w:rsidRDefault="00E90D2A" w:rsidP="00E90D2A">
      <w:pPr>
        <w:pStyle w:val="Prrafodelista"/>
        <w:widowControl w:val="0"/>
        <w:numPr>
          <w:ilvl w:val="0"/>
          <w:numId w:val="52"/>
        </w:numPr>
        <w:autoSpaceDE w:val="0"/>
        <w:autoSpaceDN w:val="0"/>
        <w:adjustRightInd w:val="0"/>
        <w:spacing w:after="0" w:line="240" w:lineRule="auto"/>
        <w:ind w:left="1418" w:hanging="284"/>
        <w:textDirection w:val="btLr"/>
        <w:rPr>
          <w:rFonts w:ascii="Garamond" w:hAnsi="Garamond" w:cstheme="majorHAnsi"/>
        </w:rPr>
      </w:pPr>
      <w:r w:rsidRPr="006E74A5">
        <w:rPr>
          <w:rFonts w:ascii="Garamond" w:eastAsia="Arial" w:hAnsi="Garamond" w:cstheme="majorHAnsi"/>
        </w:rPr>
        <w:t>Adecuación de infraestructura para modos activos, limpios y sostenibles. </w:t>
      </w:r>
    </w:p>
    <w:p w14:paraId="5793D230" w14:textId="77777777" w:rsidR="00E90D2A" w:rsidRPr="006E74A5" w:rsidRDefault="00E90D2A" w:rsidP="00E90D2A">
      <w:pPr>
        <w:pStyle w:val="Prrafodelista"/>
        <w:widowControl w:val="0"/>
        <w:numPr>
          <w:ilvl w:val="0"/>
          <w:numId w:val="52"/>
        </w:numPr>
        <w:autoSpaceDE w:val="0"/>
        <w:autoSpaceDN w:val="0"/>
        <w:adjustRightInd w:val="0"/>
        <w:spacing w:after="0" w:line="240" w:lineRule="auto"/>
        <w:ind w:left="1418" w:hanging="284"/>
        <w:textDirection w:val="btLr"/>
        <w:rPr>
          <w:rFonts w:ascii="Garamond" w:hAnsi="Garamond" w:cstheme="majorHAnsi"/>
          <w:u w:val="single"/>
        </w:rPr>
      </w:pPr>
      <w:r w:rsidRPr="006E74A5">
        <w:rPr>
          <w:rFonts w:ascii="Garamond" w:eastAsia="Arial" w:hAnsi="Garamond" w:cstheme="majorHAnsi"/>
          <w:u w:val="single"/>
        </w:rPr>
        <w:lastRenderedPageBreak/>
        <w:t>Reducción de los conflictos entre los diferentes actores viales, medidas para la gestión de la velocidad y diseño de infraestructura con enfoque de Visión Cero. </w:t>
      </w:r>
    </w:p>
    <w:p w14:paraId="5CF36336" w14:textId="77777777" w:rsidR="00E90D2A" w:rsidRPr="006E74A5" w:rsidRDefault="00E90D2A" w:rsidP="00E90D2A">
      <w:pPr>
        <w:pStyle w:val="Prrafodelista"/>
        <w:widowControl w:val="0"/>
        <w:numPr>
          <w:ilvl w:val="0"/>
          <w:numId w:val="52"/>
        </w:numPr>
        <w:autoSpaceDE w:val="0"/>
        <w:autoSpaceDN w:val="0"/>
        <w:adjustRightInd w:val="0"/>
        <w:spacing w:after="0" w:line="240" w:lineRule="auto"/>
        <w:ind w:left="1418" w:hanging="284"/>
        <w:textDirection w:val="btLr"/>
        <w:rPr>
          <w:rFonts w:ascii="Garamond" w:hAnsi="Garamond" w:cstheme="majorHAnsi"/>
          <w:u w:val="single"/>
        </w:rPr>
      </w:pPr>
      <w:r w:rsidRPr="006E74A5">
        <w:rPr>
          <w:rFonts w:ascii="Garamond" w:eastAsia="Arial" w:hAnsi="Garamond" w:cstheme="majorHAnsi"/>
        </w:rPr>
        <w:t>Conformación de anillos y corredores de integración para darle continuidad a los flujos regionales, logísticos y de carga.</w:t>
      </w:r>
    </w:p>
    <w:p w14:paraId="0031FE6A" w14:textId="77777777" w:rsidR="00E90D2A" w:rsidRPr="006E74A5" w:rsidRDefault="00E90D2A" w:rsidP="00E90D2A">
      <w:pPr>
        <w:pStyle w:val="Prrafodelista"/>
        <w:widowControl w:val="0"/>
        <w:numPr>
          <w:ilvl w:val="0"/>
          <w:numId w:val="52"/>
        </w:numPr>
        <w:autoSpaceDE w:val="0"/>
        <w:autoSpaceDN w:val="0"/>
        <w:adjustRightInd w:val="0"/>
        <w:spacing w:after="0" w:line="240" w:lineRule="auto"/>
        <w:ind w:left="1418" w:hanging="284"/>
        <w:textDirection w:val="btLr"/>
        <w:rPr>
          <w:rFonts w:ascii="Garamond" w:hAnsi="Garamond" w:cstheme="majorHAnsi"/>
        </w:rPr>
      </w:pPr>
      <w:r w:rsidRPr="006E74A5">
        <w:rPr>
          <w:rFonts w:ascii="Garamond" w:eastAsia="Arial" w:hAnsi="Garamond" w:cstheme="majorHAnsi"/>
        </w:rPr>
        <w:t>Consolidación de la malla vial arterial para dar continuidad a los flujos y dinámicas de movilidad. </w:t>
      </w:r>
    </w:p>
    <w:p w14:paraId="18F9DC49" w14:textId="77777777" w:rsidR="00E90D2A" w:rsidRPr="006E74A5" w:rsidRDefault="00E90D2A" w:rsidP="00E90D2A">
      <w:pPr>
        <w:pStyle w:val="Prrafodelista"/>
        <w:widowControl w:val="0"/>
        <w:numPr>
          <w:ilvl w:val="0"/>
          <w:numId w:val="52"/>
        </w:numPr>
        <w:autoSpaceDE w:val="0"/>
        <w:autoSpaceDN w:val="0"/>
        <w:adjustRightInd w:val="0"/>
        <w:spacing w:after="0" w:line="240" w:lineRule="auto"/>
        <w:ind w:left="1418" w:hanging="284"/>
        <w:textDirection w:val="btLr"/>
        <w:rPr>
          <w:rFonts w:ascii="Garamond" w:hAnsi="Garamond" w:cstheme="majorHAnsi"/>
        </w:rPr>
      </w:pPr>
      <w:r w:rsidRPr="006E74A5">
        <w:rPr>
          <w:rFonts w:ascii="Garamond" w:eastAsia="Arial" w:hAnsi="Garamond" w:cstheme="majorHAnsi"/>
        </w:rPr>
        <w:t>Conectividad de la malla vial intermedia para dar soporte a los flujos de escala estructurante y la accesibilidad a la escala de proximidad, y cualificación de la malla de proximidad y del cuidado para garantizar la accesibilidad y el uso, goce y disfrute del espacio público para la movilidad. </w:t>
      </w:r>
    </w:p>
    <w:p w14:paraId="4484A3B4" w14:textId="77777777" w:rsidR="00E90D2A" w:rsidRPr="006E74A5" w:rsidRDefault="00E90D2A" w:rsidP="00E90D2A">
      <w:pPr>
        <w:pStyle w:val="Prrafodelista"/>
        <w:widowControl w:val="0"/>
        <w:numPr>
          <w:ilvl w:val="0"/>
          <w:numId w:val="52"/>
        </w:numPr>
        <w:autoSpaceDE w:val="0"/>
        <w:autoSpaceDN w:val="0"/>
        <w:adjustRightInd w:val="0"/>
        <w:spacing w:after="0" w:line="240" w:lineRule="auto"/>
        <w:ind w:left="1418" w:hanging="284"/>
        <w:textDirection w:val="btLr"/>
        <w:rPr>
          <w:rFonts w:ascii="Garamond" w:hAnsi="Garamond" w:cstheme="majorHAnsi"/>
        </w:rPr>
      </w:pPr>
      <w:r w:rsidRPr="006E74A5">
        <w:rPr>
          <w:rFonts w:ascii="Garamond" w:eastAsia="Arial" w:hAnsi="Garamond" w:cstheme="majorHAnsi"/>
        </w:rPr>
        <w:t>Intervención de los perfiles viales a partir del concepto de calles completas para consolidar el espacio público para la movilidad. </w:t>
      </w:r>
    </w:p>
    <w:p w14:paraId="2F8907AA" w14:textId="77777777" w:rsidR="00E90D2A" w:rsidRPr="006E74A5" w:rsidRDefault="00E90D2A" w:rsidP="00E90D2A">
      <w:pPr>
        <w:pStyle w:val="Prrafodelista"/>
        <w:widowControl w:val="0"/>
        <w:numPr>
          <w:ilvl w:val="0"/>
          <w:numId w:val="52"/>
        </w:numPr>
        <w:autoSpaceDE w:val="0"/>
        <w:autoSpaceDN w:val="0"/>
        <w:adjustRightInd w:val="0"/>
        <w:spacing w:after="0" w:line="240" w:lineRule="auto"/>
        <w:ind w:left="1418" w:hanging="284"/>
        <w:textDirection w:val="btLr"/>
        <w:rPr>
          <w:rFonts w:ascii="Garamond" w:hAnsi="Garamond" w:cstheme="majorHAnsi"/>
        </w:rPr>
      </w:pPr>
      <w:r w:rsidRPr="006E74A5">
        <w:rPr>
          <w:rFonts w:ascii="Garamond" w:eastAsia="Arial" w:hAnsi="Garamond" w:cstheme="majorHAnsi"/>
        </w:rPr>
        <w:t>Mejoramiento de la malla vial rural para dar accesibilidad y conectividad al territorio rural.</w:t>
      </w:r>
    </w:p>
    <w:p w14:paraId="36F7D78E" w14:textId="77777777" w:rsidR="00E90D2A" w:rsidRPr="006E74A5" w:rsidRDefault="00E90D2A" w:rsidP="00E90D2A">
      <w:pPr>
        <w:spacing w:after="0" w:line="240" w:lineRule="auto"/>
        <w:ind w:left="1418" w:hanging="284"/>
        <w:textDirection w:val="btLr"/>
        <w:rPr>
          <w:rFonts w:ascii="Garamond" w:hAnsi="Garamond" w:cstheme="majorHAnsi"/>
        </w:rPr>
      </w:pPr>
      <w:r w:rsidRPr="006E74A5">
        <w:rPr>
          <w:rFonts w:ascii="Garamond" w:eastAsia="Arial" w:hAnsi="Garamond" w:cstheme="majorHAnsi"/>
        </w:rPr>
        <w:t> </w:t>
      </w:r>
    </w:p>
    <w:p w14:paraId="5D153169" w14:textId="77777777" w:rsidR="00E90D2A" w:rsidRPr="006E74A5" w:rsidRDefault="00E90D2A" w:rsidP="00E90D2A">
      <w:pPr>
        <w:spacing w:after="0" w:line="240" w:lineRule="auto"/>
        <w:ind w:left="709"/>
        <w:textDirection w:val="btLr"/>
        <w:rPr>
          <w:rFonts w:ascii="Garamond" w:hAnsi="Garamond" w:cstheme="majorHAnsi"/>
        </w:rPr>
      </w:pPr>
      <w:r w:rsidRPr="006E74A5">
        <w:rPr>
          <w:rFonts w:ascii="Garamond" w:eastAsia="Arial" w:hAnsi="Garamond" w:cstheme="majorHAnsi"/>
          <w:b/>
        </w:rPr>
        <w:t>2. </w:t>
      </w:r>
      <w:r w:rsidRPr="006E74A5">
        <w:rPr>
          <w:rFonts w:ascii="Garamond" w:eastAsia="Arial" w:hAnsi="Garamond" w:cstheme="majorHAnsi"/>
        </w:rPr>
        <w:t> </w:t>
      </w:r>
      <w:r w:rsidRPr="006E74A5">
        <w:rPr>
          <w:rFonts w:ascii="Garamond" w:eastAsia="Arial" w:hAnsi="Garamond" w:cstheme="majorHAnsi"/>
          <w:b/>
        </w:rPr>
        <w:t>Promover</w:t>
      </w:r>
      <w:r w:rsidRPr="006E74A5">
        <w:rPr>
          <w:rFonts w:ascii="Garamond" w:eastAsia="Arial" w:hAnsi="Garamond" w:cstheme="majorHAnsi"/>
        </w:rPr>
        <w:t> </w:t>
      </w:r>
      <w:r w:rsidRPr="006E74A5">
        <w:rPr>
          <w:rFonts w:ascii="Garamond" w:eastAsia="Arial" w:hAnsi="Garamond" w:cstheme="majorHAnsi"/>
          <w:b/>
        </w:rPr>
        <w:t>modos de transporte limpios y sostenibles</w:t>
      </w:r>
    </w:p>
    <w:p w14:paraId="11156649" w14:textId="77777777" w:rsidR="00E90D2A" w:rsidRPr="006E74A5" w:rsidRDefault="00E90D2A" w:rsidP="00E90D2A">
      <w:pPr>
        <w:spacing w:after="0" w:line="240" w:lineRule="auto"/>
        <w:ind w:left="1418" w:hanging="284"/>
        <w:textDirection w:val="btLr"/>
        <w:rPr>
          <w:rFonts w:ascii="Garamond" w:hAnsi="Garamond" w:cstheme="majorHAnsi"/>
        </w:rPr>
      </w:pPr>
      <w:r w:rsidRPr="006E74A5">
        <w:rPr>
          <w:rFonts w:ascii="Garamond" w:eastAsia="Arial" w:hAnsi="Garamond" w:cstheme="majorHAnsi"/>
        </w:rPr>
        <w:t> </w:t>
      </w:r>
    </w:p>
    <w:p w14:paraId="7D01A986" w14:textId="77777777" w:rsidR="00E90D2A" w:rsidRPr="006E74A5" w:rsidRDefault="00E90D2A" w:rsidP="00E90D2A">
      <w:pPr>
        <w:pStyle w:val="Prrafodelista"/>
        <w:widowControl w:val="0"/>
        <w:numPr>
          <w:ilvl w:val="0"/>
          <w:numId w:val="53"/>
        </w:numPr>
        <w:autoSpaceDE w:val="0"/>
        <w:autoSpaceDN w:val="0"/>
        <w:adjustRightInd w:val="0"/>
        <w:spacing w:after="0" w:line="240" w:lineRule="auto"/>
        <w:ind w:left="1418" w:hanging="284"/>
        <w:textDirection w:val="btLr"/>
        <w:rPr>
          <w:rFonts w:ascii="Garamond" w:hAnsi="Garamond" w:cstheme="majorHAnsi"/>
        </w:rPr>
      </w:pPr>
      <w:r w:rsidRPr="006E74A5">
        <w:rPr>
          <w:rFonts w:ascii="Garamond" w:eastAsia="Arial" w:hAnsi="Garamond" w:cstheme="majorHAnsi"/>
        </w:rPr>
        <w:t>Construcción de una red férrea y de corredores de alta capacidad, para garantizar la prestación efectiva del servicio del transporte público, urbano, rural y regional </w:t>
      </w:r>
    </w:p>
    <w:p w14:paraId="43D183EC" w14:textId="77777777" w:rsidR="00E90D2A" w:rsidRPr="006E74A5" w:rsidRDefault="00E90D2A" w:rsidP="00E90D2A">
      <w:pPr>
        <w:pStyle w:val="Prrafodelista"/>
        <w:widowControl w:val="0"/>
        <w:numPr>
          <w:ilvl w:val="0"/>
          <w:numId w:val="53"/>
        </w:numPr>
        <w:autoSpaceDE w:val="0"/>
        <w:autoSpaceDN w:val="0"/>
        <w:adjustRightInd w:val="0"/>
        <w:spacing w:after="0" w:line="240" w:lineRule="auto"/>
        <w:ind w:left="1418" w:hanging="284"/>
        <w:textDirection w:val="btLr"/>
        <w:rPr>
          <w:rFonts w:ascii="Garamond" w:hAnsi="Garamond" w:cstheme="majorHAnsi"/>
        </w:rPr>
      </w:pPr>
      <w:r w:rsidRPr="006E74A5">
        <w:rPr>
          <w:rFonts w:ascii="Garamond" w:eastAsia="Arial" w:hAnsi="Garamond" w:cstheme="majorHAnsi"/>
        </w:rPr>
        <w:t>Conformación de una red de corredores verdes para consolidar dinámicas de movilidad de cero y bajas emisiones y entornos vitales. </w:t>
      </w:r>
    </w:p>
    <w:p w14:paraId="57BED384" w14:textId="77777777" w:rsidR="00E90D2A" w:rsidRPr="006E74A5" w:rsidRDefault="00E90D2A" w:rsidP="00E90D2A">
      <w:pPr>
        <w:pStyle w:val="Prrafodelista"/>
        <w:widowControl w:val="0"/>
        <w:numPr>
          <w:ilvl w:val="0"/>
          <w:numId w:val="53"/>
        </w:numPr>
        <w:autoSpaceDE w:val="0"/>
        <w:autoSpaceDN w:val="0"/>
        <w:adjustRightInd w:val="0"/>
        <w:spacing w:after="0" w:line="240" w:lineRule="auto"/>
        <w:ind w:left="1418" w:hanging="284"/>
        <w:textDirection w:val="btLr"/>
        <w:rPr>
          <w:rFonts w:ascii="Garamond" w:hAnsi="Garamond" w:cstheme="majorHAnsi"/>
        </w:rPr>
      </w:pPr>
      <w:r w:rsidRPr="006E74A5">
        <w:rPr>
          <w:rFonts w:ascii="Garamond" w:eastAsia="Arial" w:hAnsi="Garamond" w:cstheme="majorHAnsi"/>
        </w:rPr>
        <w:t>Construcción de corredores de cable aéreo para mejorar las condiciones de conectividad y accesibilidad de difícil acceso y con valores ambientales y de patrimonios. </w:t>
      </w:r>
    </w:p>
    <w:p w14:paraId="4EC5668A" w14:textId="77777777" w:rsidR="00E90D2A" w:rsidRPr="006E74A5" w:rsidRDefault="00E90D2A" w:rsidP="00E90D2A">
      <w:pPr>
        <w:pStyle w:val="Prrafodelista"/>
        <w:widowControl w:val="0"/>
        <w:numPr>
          <w:ilvl w:val="0"/>
          <w:numId w:val="53"/>
        </w:numPr>
        <w:autoSpaceDE w:val="0"/>
        <w:autoSpaceDN w:val="0"/>
        <w:adjustRightInd w:val="0"/>
        <w:spacing w:after="0" w:line="240" w:lineRule="auto"/>
        <w:ind w:left="1418" w:hanging="284"/>
        <w:textDirection w:val="btLr"/>
        <w:rPr>
          <w:rFonts w:ascii="Garamond" w:hAnsi="Garamond" w:cstheme="majorHAnsi"/>
        </w:rPr>
      </w:pPr>
      <w:r w:rsidRPr="006E74A5">
        <w:rPr>
          <w:rFonts w:ascii="Garamond" w:eastAsia="Arial" w:hAnsi="Garamond" w:cstheme="majorHAnsi"/>
        </w:rPr>
        <w:t>Consolidación de las áreas y nodos de integración modal para optimizar viajes, la accesibilidad, conectividad al transporte que contribuyan al aprovechamiento eficiente del suelo de su zona de influencia para la localización de servicios sociales.</w:t>
      </w:r>
    </w:p>
    <w:p w14:paraId="05FB9214" w14:textId="77777777" w:rsidR="00E90D2A" w:rsidRPr="006E74A5" w:rsidRDefault="00E90D2A" w:rsidP="00E90D2A">
      <w:pPr>
        <w:pBdr>
          <w:top w:val="nil"/>
          <w:left w:val="nil"/>
          <w:bottom w:val="nil"/>
          <w:right w:val="nil"/>
          <w:between w:val="nil"/>
        </w:pBdr>
        <w:spacing w:after="0" w:line="240" w:lineRule="auto"/>
        <w:rPr>
          <w:rFonts w:ascii="Garamond" w:eastAsia="Calibri" w:hAnsi="Garamond" w:cstheme="majorHAnsi"/>
        </w:rPr>
      </w:pPr>
    </w:p>
    <w:p w14:paraId="1F1FC9DB" w14:textId="77777777" w:rsidR="00E90D2A" w:rsidRPr="00FA658F" w:rsidRDefault="00E90D2A" w:rsidP="00E90D2A">
      <w:pPr>
        <w:pStyle w:val="Prrafodelista"/>
        <w:numPr>
          <w:ilvl w:val="0"/>
          <w:numId w:val="59"/>
        </w:numPr>
        <w:spacing w:after="0" w:line="240" w:lineRule="auto"/>
        <w:jc w:val="left"/>
        <w:textDirection w:val="btLr"/>
        <w:rPr>
          <w:rFonts w:ascii="Garamond" w:hAnsi="Garamond" w:cstheme="majorHAnsi"/>
        </w:rPr>
      </w:pPr>
      <w:r w:rsidRPr="00FA658F">
        <w:rPr>
          <w:rFonts w:ascii="Garamond" w:eastAsia="Arial Narrow" w:hAnsi="Garamond" w:cstheme="majorHAnsi"/>
          <w:b/>
        </w:rPr>
        <w:t xml:space="preserve">P.O.T.  Art. 153. </w:t>
      </w:r>
      <w:r w:rsidRPr="00FA658F">
        <w:rPr>
          <w:rFonts w:ascii="Garamond" w:eastAsia="Arial" w:hAnsi="Garamond" w:cstheme="majorHAnsi"/>
          <w:b/>
          <w:highlight w:val="white"/>
        </w:rPr>
        <w:t>Lineamientos generales para la intervención en el espacio público para la movilidad</w:t>
      </w:r>
      <w:r w:rsidRPr="00FA658F">
        <w:rPr>
          <w:rFonts w:ascii="Garamond" w:eastAsia="Arial" w:hAnsi="Garamond" w:cstheme="majorHAnsi"/>
          <w:highlight w:val="white"/>
        </w:rPr>
        <w:t>.</w:t>
      </w:r>
    </w:p>
    <w:p w14:paraId="218FA011" w14:textId="77777777" w:rsidR="00E90D2A" w:rsidRPr="006E74A5" w:rsidRDefault="00E90D2A" w:rsidP="00E90D2A">
      <w:pPr>
        <w:spacing w:after="0" w:line="240" w:lineRule="auto"/>
        <w:textDirection w:val="btLr"/>
        <w:rPr>
          <w:rFonts w:ascii="Garamond" w:hAnsi="Garamond" w:cstheme="majorHAnsi"/>
        </w:rPr>
      </w:pPr>
    </w:p>
    <w:p w14:paraId="1DFC66EC" w14:textId="77777777" w:rsidR="00E90D2A" w:rsidRPr="006E74A5" w:rsidRDefault="00E90D2A" w:rsidP="00E90D2A">
      <w:pPr>
        <w:spacing w:after="0" w:line="240" w:lineRule="auto"/>
        <w:ind w:left="284"/>
        <w:textDirection w:val="btLr"/>
        <w:rPr>
          <w:rFonts w:ascii="Garamond" w:hAnsi="Garamond" w:cstheme="majorHAnsi"/>
        </w:rPr>
      </w:pPr>
      <w:r w:rsidRPr="006E74A5">
        <w:rPr>
          <w:rFonts w:ascii="Garamond" w:eastAsia="Arial" w:hAnsi="Garamond" w:cstheme="majorHAnsi"/>
          <w:highlight w:val="white"/>
        </w:rPr>
        <w:t>Las intervenciones en el espacio público para la movilidad deben seguir los siguientes lineamientos:</w:t>
      </w:r>
    </w:p>
    <w:p w14:paraId="77052ECB" w14:textId="77777777" w:rsidR="00E90D2A" w:rsidRPr="006E74A5" w:rsidRDefault="00E90D2A" w:rsidP="00E90D2A">
      <w:pPr>
        <w:spacing w:after="0" w:line="240" w:lineRule="auto"/>
        <w:textDirection w:val="btLr"/>
        <w:rPr>
          <w:rFonts w:ascii="Garamond" w:hAnsi="Garamond" w:cstheme="majorHAnsi"/>
        </w:rPr>
      </w:pPr>
      <w:r w:rsidRPr="006E74A5">
        <w:rPr>
          <w:rFonts w:ascii="Garamond" w:eastAsia="Arial" w:hAnsi="Garamond" w:cstheme="majorHAnsi"/>
          <w:highlight w:val="white"/>
        </w:rPr>
        <w:t xml:space="preserve"> </w:t>
      </w:r>
    </w:p>
    <w:p w14:paraId="1CE11164" w14:textId="77777777" w:rsidR="00E90D2A" w:rsidRPr="006E74A5" w:rsidRDefault="00E90D2A" w:rsidP="00E90D2A">
      <w:pPr>
        <w:pStyle w:val="Prrafodelista"/>
        <w:widowControl w:val="0"/>
        <w:numPr>
          <w:ilvl w:val="0"/>
          <w:numId w:val="56"/>
        </w:numPr>
        <w:autoSpaceDE w:val="0"/>
        <w:autoSpaceDN w:val="0"/>
        <w:adjustRightInd w:val="0"/>
        <w:spacing w:after="0" w:line="240" w:lineRule="auto"/>
        <w:textDirection w:val="btLr"/>
        <w:rPr>
          <w:rFonts w:ascii="Garamond" w:hAnsi="Garamond" w:cstheme="majorHAnsi"/>
        </w:rPr>
      </w:pPr>
      <w:r w:rsidRPr="006E74A5">
        <w:rPr>
          <w:rFonts w:ascii="Garamond" w:eastAsia="Arial" w:hAnsi="Garamond" w:cstheme="majorHAnsi"/>
          <w:highlight w:val="white"/>
        </w:rPr>
        <w:t xml:space="preserve">Distribuir el espacio del perfil de la calle de acuerdo con la pirámide invertida de movilidad en el siguiente orden: i) circulación peatonal incluyendo las necesidades de movilidad de las personas con discapacidad </w:t>
      </w:r>
      <w:proofErr w:type="spellStart"/>
      <w:r w:rsidRPr="006E74A5">
        <w:rPr>
          <w:rFonts w:ascii="Garamond" w:eastAsia="Arial" w:hAnsi="Garamond" w:cstheme="majorHAnsi"/>
          <w:highlight w:val="white"/>
        </w:rPr>
        <w:t>ii</w:t>
      </w:r>
      <w:proofErr w:type="spellEnd"/>
      <w:r w:rsidRPr="006E74A5">
        <w:rPr>
          <w:rFonts w:ascii="Garamond" w:eastAsia="Arial" w:hAnsi="Garamond" w:cstheme="majorHAnsi"/>
          <w:highlight w:val="white"/>
        </w:rPr>
        <w:t xml:space="preserve">) ciclistas y usuarios de vehículos de </w:t>
      </w:r>
      <w:proofErr w:type="spellStart"/>
      <w:r w:rsidRPr="006E74A5">
        <w:rPr>
          <w:rFonts w:ascii="Garamond" w:eastAsia="Arial" w:hAnsi="Garamond" w:cstheme="majorHAnsi"/>
          <w:highlight w:val="white"/>
        </w:rPr>
        <w:t>micromovilidad</w:t>
      </w:r>
      <w:proofErr w:type="spellEnd"/>
      <w:r w:rsidRPr="006E74A5">
        <w:rPr>
          <w:rFonts w:ascii="Garamond" w:eastAsia="Arial" w:hAnsi="Garamond" w:cstheme="majorHAnsi"/>
          <w:highlight w:val="white"/>
        </w:rPr>
        <w:t xml:space="preserve">, </w:t>
      </w:r>
      <w:proofErr w:type="spellStart"/>
      <w:r w:rsidRPr="006E74A5">
        <w:rPr>
          <w:rFonts w:ascii="Garamond" w:eastAsia="Arial" w:hAnsi="Garamond" w:cstheme="majorHAnsi"/>
          <w:highlight w:val="white"/>
        </w:rPr>
        <w:t>iii</w:t>
      </w:r>
      <w:proofErr w:type="spellEnd"/>
      <w:r w:rsidRPr="006E74A5">
        <w:rPr>
          <w:rFonts w:ascii="Garamond" w:eastAsia="Arial" w:hAnsi="Garamond" w:cstheme="majorHAnsi"/>
          <w:highlight w:val="white"/>
        </w:rPr>
        <w:t xml:space="preserve">) transporte público, </w:t>
      </w:r>
      <w:proofErr w:type="spellStart"/>
      <w:r w:rsidRPr="006E74A5">
        <w:rPr>
          <w:rFonts w:ascii="Garamond" w:eastAsia="Arial" w:hAnsi="Garamond" w:cstheme="majorHAnsi"/>
          <w:highlight w:val="white"/>
        </w:rPr>
        <w:t>iv</w:t>
      </w:r>
      <w:proofErr w:type="spellEnd"/>
      <w:r w:rsidRPr="006E74A5">
        <w:rPr>
          <w:rFonts w:ascii="Garamond" w:eastAsia="Arial" w:hAnsi="Garamond" w:cstheme="majorHAnsi"/>
          <w:highlight w:val="white"/>
        </w:rPr>
        <w:t>) transporte de carga y especial, y v) transporte en vehículo particular.</w:t>
      </w:r>
    </w:p>
    <w:p w14:paraId="0164F5AF" w14:textId="77777777" w:rsidR="00E90D2A" w:rsidRPr="00FA658F" w:rsidRDefault="00E90D2A" w:rsidP="00E90D2A">
      <w:pPr>
        <w:pStyle w:val="Prrafodelista"/>
        <w:widowControl w:val="0"/>
        <w:numPr>
          <w:ilvl w:val="0"/>
          <w:numId w:val="56"/>
        </w:numPr>
        <w:autoSpaceDE w:val="0"/>
        <w:autoSpaceDN w:val="0"/>
        <w:adjustRightInd w:val="0"/>
        <w:spacing w:after="0" w:line="240" w:lineRule="auto"/>
        <w:textDirection w:val="btLr"/>
        <w:rPr>
          <w:rFonts w:ascii="Garamond" w:hAnsi="Garamond" w:cstheme="majorHAnsi"/>
        </w:rPr>
      </w:pPr>
      <w:r w:rsidRPr="006E74A5">
        <w:rPr>
          <w:rFonts w:ascii="Garamond" w:eastAsia="Arial" w:hAnsi="Garamond" w:cstheme="majorHAnsi"/>
          <w:highlight w:val="white"/>
        </w:rPr>
        <w:t>Implementar medidas de regulación y pacificación del tránsito que permitan la reducción de los riesgos de accidentalidad (siniestralidad), generen cruces seguros, gestionen la velocidad y den continuidad de circulación a los usuarios vulnerables conforme a los lineamientos que establezca la Secretaría Distrital de Movilidad y el plan de movilidad sostenible y segura en el marco de la visión Cero.</w:t>
      </w:r>
    </w:p>
    <w:p w14:paraId="1931F193" w14:textId="77777777" w:rsidR="00E90D2A" w:rsidRPr="00FA658F" w:rsidRDefault="00E90D2A" w:rsidP="00E90D2A">
      <w:pPr>
        <w:pStyle w:val="Prrafodelista"/>
        <w:widowControl w:val="0"/>
        <w:numPr>
          <w:ilvl w:val="0"/>
          <w:numId w:val="56"/>
        </w:numPr>
        <w:autoSpaceDE w:val="0"/>
        <w:autoSpaceDN w:val="0"/>
        <w:adjustRightInd w:val="0"/>
        <w:spacing w:after="0" w:line="240" w:lineRule="auto"/>
        <w:textDirection w:val="btLr"/>
        <w:rPr>
          <w:rFonts w:ascii="Garamond" w:hAnsi="Garamond" w:cstheme="majorHAnsi"/>
        </w:rPr>
      </w:pPr>
      <w:r w:rsidRPr="00FA658F">
        <w:rPr>
          <w:rFonts w:ascii="Garamond" w:eastAsia="Arial" w:hAnsi="Garamond" w:cstheme="majorHAnsi"/>
          <w:highlight w:val="white"/>
        </w:rPr>
        <w:t>Responder al entorno donde se localice, activar el espacio público, promover la multimodalidad, dar continuidad al urbanismo existente y generar espacios para el encuentro, la permanencia y la recreación de todos los usuarios de la calle.</w:t>
      </w:r>
    </w:p>
    <w:p w14:paraId="2C0D5452" w14:textId="77777777" w:rsidR="00E90D2A" w:rsidRPr="00FA658F" w:rsidRDefault="00E90D2A" w:rsidP="00E90D2A">
      <w:pPr>
        <w:pStyle w:val="Prrafodelista"/>
        <w:widowControl w:val="0"/>
        <w:numPr>
          <w:ilvl w:val="0"/>
          <w:numId w:val="56"/>
        </w:numPr>
        <w:autoSpaceDE w:val="0"/>
        <w:autoSpaceDN w:val="0"/>
        <w:adjustRightInd w:val="0"/>
        <w:spacing w:after="0" w:line="240" w:lineRule="auto"/>
        <w:textDirection w:val="btLr"/>
        <w:rPr>
          <w:rFonts w:ascii="Garamond" w:hAnsi="Garamond" w:cstheme="majorHAnsi"/>
        </w:rPr>
      </w:pPr>
      <w:r w:rsidRPr="00FA658F">
        <w:rPr>
          <w:rFonts w:ascii="Garamond" w:eastAsia="Arial" w:hAnsi="Garamond" w:cstheme="majorHAnsi"/>
          <w:highlight w:val="white"/>
        </w:rPr>
        <w:t>Implementar acciones para prevenir el atropellamiento que pueden incluir pasos de fauna, señalización y/o reductores de velocidad, en zonas de alto tráfico vehicular y de alta accidentalidad (siniestralidad) que se intercepten con zonas de potencial cruce de fauna y en la construcción o mejora del espacio público para la movilidad que pueda generar alteración de la conectividad ecológica.</w:t>
      </w:r>
    </w:p>
    <w:p w14:paraId="16688A72" w14:textId="77777777" w:rsidR="00E90D2A" w:rsidRPr="00FA658F" w:rsidRDefault="00E90D2A" w:rsidP="00E90D2A">
      <w:pPr>
        <w:pStyle w:val="Prrafodelista"/>
        <w:widowControl w:val="0"/>
        <w:numPr>
          <w:ilvl w:val="0"/>
          <w:numId w:val="56"/>
        </w:numPr>
        <w:autoSpaceDE w:val="0"/>
        <w:autoSpaceDN w:val="0"/>
        <w:adjustRightInd w:val="0"/>
        <w:spacing w:after="0" w:line="240" w:lineRule="auto"/>
        <w:textDirection w:val="btLr"/>
        <w:rPr>
          <w:rFonts w:ascii="Garamond" w:hAnsi="Garamond" w:cstheme="majorHAnsi"/>
        </w:rPr>
      </w:pPr>
      <w:r w:rsidRPr="00FA658F">
        <w:rPr>
          <w:rFonts w:ascii="Garamond" w:eastAsia="Arial" w:hAnsi="Garamond" w:cstheme="majorHAnsi"/>
          <w:highlight w:val="white"/>
        </w:rPr>
        <w:t>Propender por preservar los individuos arbóreos con condiciones fitosanitarias adecuadas en el ámbito de los proyectos de construcción, soterramiento, instalación o mejoramiento de infraestructura de transporte y servicios públicos.</w:t>
      </w:r>
    </w:p>
    <w:p w14:paraId="4393FF88" w14:textId="77777777" w:rsidR="00E90D2A" w:rsidRPr="00FA658F" w:rsidRDefault="00E90D2A" w:rsidP="00E90D2A">
      <w:pPr>
        <w:pStyle w:val="Prrafodelista"/>
        <w:widowControl w:val="0"/>
        <w:numPr>
          <w:ilvl w:val="0"/>
          <w:numId w:val="56"/>
        </w:numPr>
        <w:autoSpaceDE w:val="0"/>
        <w:autoSpaceDN w:val="0"/>
        <w:adjustRightInd w:val="0"/>
        <w:spacing w:after="0" w:line="240" w:lineRule="auto"/>
        <w:textDirection w:val="btLr"/>
        <w:rPr>
          <w:rFonts w:ascii="Garamond" w:hAnsi="Garamond" w:cstheme="majorHAnsi"/>
        </w:rPr>
      </w:pPr>
      <w:r w:rsidRPr="00FA658F">
        <w:rPr>
          <w:rFonts w:ascii="Garamond" w:eastAsia="Arial" w:hAnsi="Garamond" w:cstheme="majorHAnsi"/>
          <w:highlight w:val="white"/>
        </w:rPr>
        <w:t xml:space="preserve">Incluir vegetación y arborización que favorezca la conectividad ecológica, mejore el ambiente urbano, aporte a la disminución de la concentración de material particulado y que permita evitar la </w:t>
      </w:r>
      <w:proofErr w:type="spellStart"/>
      <w:r w:rsidRPr="00FA658F">
        <w:rPr>
          <w:rFonts w:ascii="Garamond" w:eastAsia="Arial" w:hAnsi="Garamond" w:cstheme="majorHAnsi"/>
          <w:highlight w:val="white"/>
        </w:rPr>
        <w:t>re-suspensión</w:t>
      </w:r>
      <w:proofErr w:type="spellEnd"/>
      <w:r w:rsidRPr="00FA658F">
        <w:rPr>
          <w:rFonts w:ascii="Garamond" w:eastAsia="Arial" w:hAnsi="Garamond" w:cstheme="majorHAnsi"/>
          <w:highlight w:val="white"/>
        </w:rPr>
        <w:t xml:space="preserve"> del material particulado, además de atenuar el impacto del ruido en las actividades humanas. La selección de especies arbóreas y la intervención de la calle deben garantizar condiciones para que los árboles se desarrollen de manera adecuada, no vulneren la seguridad y estabilidad de las construcciones e infraestructura, y no afecten su nivel de servicio.</w:t>
      </w:r>
    </w:p>
    <w:p w14:paraId="1FBEEADF" w14:textId="77777777" w:rsidR="00E90D2A" w:rsidRPr="00FA658F" w:rsidRDefault="00E90D2A" w:rsidP="00E90D2A">
      <w:pPr>
        <w:pStyle w:val="Prrafodelista"/>
        <w:widowControl w:val="0"/>
        <w:numPr>
          <w:ilvl w:val="0"/>
          <w:numId w:val="56"/>
        </w:numPr>
        <w:autoSpaceDE w:val="0"/>
        <w:autoSpaceDN w:val="0"/>
        <w:adjustRightInd w:val="0"/>
        <w:spacing w:after="0" w:line="240" w:lineRule="auto"/>
        <w:textDirection w:val="btLr"/>
        <w:rPr>
          <w:rFonts w:ascii="Garamond" w:hAnsi="Garamond" w:cstheme="majorHAnsi"/>
        </w:rPr>
      </w:pPr>
      <w:r w:rsidRPr="00FA658F">
        <w:rPr>
          <w:rFonts w:ascii="Garamond" w:eastAsia="Arial" w:hAnsi="Garamond" w:cstheme="majorHAnsi"/>
          <w:highlight w:val="white"/>
        </w:rPr>
        <w:t>Los predios privados que colinden con cualquiera de las franjas que conforman la calle, podrán abrir ventanas y accesos peatonales. Solo se podrá habilitar el acceso vehicular en el marco de las normas señaladas en el presente plan.</w:t>
      </w:r>
    </w:p>
    <w:p w14:paraId="7A4542BA" w14:textId="77777777" w:rsidR="00E90D2A" w:rsidRPr="00FA658F" w:rsidRDefault="00E90D2A" w:rsidP="00E90D2A">
      <w:pPr>
        <w:pStyle w:val="Prrafodelista"/>
        <w:widowControl w:val="0"/>
        <w:numPr>
          <w:ilvl w:val="0"/>
          <w:numId w:val="56"/>
        </w:numPr>
        <w:autoSpaceDE w:val="0"/>
        <w:autoSpaceDN w:val="0"/>
        <w:adjustRightInd w:val="0"/>
        <w:spacing w:after="0" w:line="240" w:lineRule="auto"/>
        <w:textDirection w:val="btLr"/>
        <w:rPr>
          <w:rFonts w:ascii="Garamond" w:hAnsi="Garamond" w:cstheme="majorHAnsi"/>
        </w:rPr>
      </w:pPr>
      <w:r w:rsidRPr="00FA658F">
        <w:rPr>
          <w:rFonts w:ascii="Garamond" w:eastAsia="Arial" w:hAnsi="Garamond" w:cstheme="majorHAnsi"/>
          <w:highlight w:val="white"/>
        </w:rPr>
        <w:lastRenderedPageBreak/>
        <w:t>Las redes secas de servicios públicos deberán instalarse bajo la franja de circulación peatonal, salvo que su ancho sea insuficiente, en cuyo caso podrán instalarse debajo de otras franjas cumpliendo con las normas y reglamentos técnicos aplicables, de acuerdo con lo señalado en la Resolución 011 de 2013 de la Secretaría Distrital de Planeación o la que la modifique, adicione, sustituya y asegurando su compatibilidad con la conservación del arbolado urbano y la circulación en óptimas condiciones de todos los usuarios de la red vial</w:t>
      </w:r>
    </w:p>
    <w:p w14:paraId="4E1DD1FB" w14:textId="77777777" w:rsidR="00E90D2A" w:rsidRPr="00FA658F" w:rsidRDefault="00E90D2A" w:rsidP="00E90D2A">
      <w:pPr>
        <w:pStyle w:val="Prrafodelista"/>
        <w:widowControl w:val="0"/>
        <w:numPr>
          <w:ilvl w:val="0"/>
          <w:numId w:val="56"/>
        </w:numPr>
        <w:autoSpaceDE w:val="0"/>
        <w:autoSpaceDN w:val="0"/>
        <w:adjustRightInd w:val="0"/>
        <w:spacing w:after="0" w:line="240" w:lineRule="auto"/>
        <w:textDirection w:val="btLr"/>
        <w:rPr>
          <w:rFonts w:ascii="Garamond" w:hAnsi="Garamond" w:cstheme="majorHAnsi"/>
        </w:rPr>
      </w:pPr>
      <w:r w:rsidRPr="00FA658F">
        <w:rPr>
          <w:rFonts w:ascii="Garamond" w:eastAsia="Arial" w:hAnsi="Garamond" w:cstheme="majorHAnsi"/>
          <w:highlight w:val="white"/>
        </w:rPr>
        <w:t>La instalación de infraestructuras y mobiliario para los sistemas de transporte no debe afectar la circulación peatonal, la operación y los niveles de servicio del sistema de movilidad.</w:t>
      </w:r>
    </w:p>
    <w:p w14:paraId="690D6020" w14:textId="77777777" w:rsidR="00E90D2A" w:rsidRPr="00FA658F" w:rsidRDefault="00E90D2A" w:rsidP="00E90D2A">
      <w:pPr>
        <w:pStyle w:val="Prrafodelista"/>
        <w:widowControl w:val="0"/>
        <w:numPr>
          <w:ilvl w:val="0"/>
          <w:numId w:val="56"/>
        </w:numPr>
        <w:autoSpaceDE w:val="0"/>
        <w:autoSpaceDN w:val="0"/>
        <w:adjustRightInd w:val="0"/>
        <w:spacing w:after="0" w:line="240" w:lineRule="auto"/>
        <w:textDirection w:val="btLr"/>
        <w:rPr>
          <w:rFonts w:ascii="Garamond" w:hAnsi="Garamond" w:cstheme="majorHAnsi"/>
        </w:rPr>
      </w:pPr>
      <w:r w:rsidRPr="00FA658F">
        <w:rPr>
          <w:rFonts w:ascii="Garamond" w:eastAsia="Arial" w:hAnsi="Garamond" w:cstheme="majorHAnsi"/>
          <w:highlight w:val="white"/>
        </w:rPr>
        <w:t>La intervención en la cualificación de las franjas de circulación peatonal se someterá al modelo básico de intervención que se encuentra incorporado en el Manual de Normas Comunes a los Tratamientos Urbanístico hasta que se adopte el Manual de espacio público.</w:t>
      </w:r>
    </w:p>
    <w:p w14:paraId="412D9294" w14:textId="77777777" w:rsidR="00E90D2A" w:rsidRPr="006E74A5" w:rsidRDefault="00E90D2A" w:rsidP="00E90D2A">
      <w:pPr>
        <w:spacing w:after="0" w:line="240" w:lineRule="auto"/>
        <w:ind w:left="927" w:hanging="284"/>
        <w:textDirection w:val="btLr"/>
        <w:rPr>
          <w:rFonts w:ascii="Garamond" w:hAnsi="Garamond" w:cstheme="majorHAnsi"/>
        </w:rPr>
      </w:pPr>
    </w:p>
    <w:p w14:paraId="0C5D0146" w14:textId="77777777" w:rsidR="00E90D2A" w:rsidRPr="00FA658F" w:rsidRDefault="00E90D2A" w:rsidP="00E90D2A">
      <w:pPr>
        <w:pStyle w:val="Prrafodelista"/>
        <w:numPr>
          <w:ilvl w:val="0"/>
          <w:numId w:val="59"/>
        </w:numPr>
        <w:spacing w:after="0" w:line="240" w:lineRule="auto"/>
        <w:jc w:val="left"/>
        <w:textDirection w:val="btLr"/>
        <w:rPr>
          <w:rFonts w:ascii="Garamond" w:hAnsi="Garamond" w:cstheme="majorHAnsi"/>
        </w:rPr>
      </w:pPr>
      <w:r w:rsidRPr="00FA658F">
        <w:rPr>
          <w:rFonts w:ascii="Garamond" w:eastAsia="Arial Narrow" w:hAnsi="Garamond" w:cstheme="majorHAnsi"/>
          <w:b/>
        </w:rPr>
        <w:t xml:space="preserve">P.O.T.  Art. 156. </w:t>
      </w:r>
      <w:r w:rsidRPr="00FA658F">
        <w:rPr>
          <w:rFonts w:ascii="Garamond" w:hAnsi="Garamond" w:cstheme="majorHAnsi"/>
          <w:b/>
          <w:bCs/>
          <w:shd w:val="clear" w:color="auto" w:fill="FFFFFF"/>
          <w:lang w:val="es-ES"/>
        </w:rPr>
        <w:t>Cualificación del Sistema Vial</w:t>
      </w:r>
      <w:r w:rsidRPr="00FA658F">
        <w:rPr>
          <w:rFonts w:ascii="Garamond" w:eastAsia="Arial" w:hAnsi="Garamond" w:cstheme="majorHAnsi"/>
          <w:highlight w:val="white"/>
        </w:rPr>
        <w:t>.</w:t>
      </w:r>
    </w:p>
    <w:p w14:paraId="6706952C" w14:textId="77777777" w:rsidR="00E90D2A" w:rsidRPr="006E74A5" w:rsidRDefault="00E90D2A" w:rsidP="00E90D2A">
      <w:pPr>
        <w:pBdr>
          <w:top w:val="nil"/>
          <w:left w:val="nil"/>
          <w:bottom w:val="nil"/>
          <w:right w:val="nil"/>
          <w:between w:val="nil"/>
        </w:pBdr>
        <w:spacing w:after="0" w:line="240" w:lineRule="auto"/>
        <w:rPr>
          <w:rFonts w:ascii="Garamond" w:eastAsia="Calibri" w:hAnsi="Garamond" w:cstheme="majorHAnsi"/>
        </w:rPr>
      </w:pPr>
    </w:p>
    <w:p w14:paraId="0295A26A" w14:textId="77777777" w:rsidR="00E90D2A" w:rsidRPr="006E74A5" w:rsidRDefault="00E90D2A" w:rsidP="00E90D2A">
      <w:pPr>
        <w:spacing w:after="0" w:line="240" w:lineRule="auto"/>
        <w:ind w:left="284"/>
        <w:textDirection w:val="btLr"/>
        <w:rPr>
          <w:rFonts w:ascii="Garamond" w:eastAsia="Arial" w:hAnsi="Garamond" w:cstheme="majorHAnsi"/>
          <w:highlight w:val="white"/>
        </w:rPr>
      </w:pPr>
      <w:r w:rsidRPr="006E74A5">
        <w:rPr>
          <w:rFonts w:ascii="Garamond" w:eastAsia="Arial" w:hAnsi="Garamond" w:cstheme="majorHAnsi"/>
          <w:highlight w:val="white"/>
        </w:rPr>
        <w:t xml:space="preserve">Todas las vías del sistema vial que lo requieran deberán ser objeto de cualificación de sus condiciones estructurales, urbanísticas y ambientales por parte de las entidades del sector movilidad, que se repartirán las funciones así: </w:t>
      </w:r>
    </w:p>
    <w:p w14:paraId="41845F6D" w14:textId="77777777" w:rsidR="00E90D2A" w:rsidRPr="006E74A5" w:rsidRDefault="00E90D2A" w:rsidP="00E90D2A">
      <w:pPr>
        <w:pBdr>
          <w:top w:val="nil"/>
          <w:left w:val="nil"/>
          <w:bottom w:val="nil"/>
          <w:right w:val="nil"/>
          <w:between w:val="nil"/>
        </w:pBdr>
        <w:spacing w:after="0" w:line="240" w:lineRule="auto"/>
        <w:rPr>
          <w:rFonts w:ascii="Garamond" w:eastAsia="Calibri" w:hAnsi="Garamond" w:cstheme="majorHAnsi"/>
        </w:rPr>
      </w:pPr>
    </w:p>
    <w:p w14:paraId="0E4DA4CE" w14:textId="77777777" w:rsidR="00E90D2A" w:rsidRPr="006E74A5" w:rsidRDefault="00E90D2A" w:rsidP="00E90D2A">
      <w:pPr>
        <w:pBdr>
          <w:top w:val="nil"/>
          <w:left w:val="nil"/>
          <w:bottom w:val="nil"/>
          <w:right w:val="nil"/>
          <w:between w:val="nil"/>
        </w:pBdr>
        <w:spacing w:after="0" w:line="240" w:lineRule="auto"/>
        <w:jc w:val="center"/>
        <w:rPr>
          <w:rFonts w:ascii="Garamond" w:eastAsia="Calibri" w:hAnsi="Garamond" w:cstheme="majorHAnsi"/>
        </w:rPr>
      </w:pPr>
      <w:r w:rsidRPr="006E74A5">
        <w:rPr>
          <w:rFonts w:ascii="Garamond" w:hAnsi="Garamond" w:cstheme="majorHAnsi"/>
          <w:noProof/>
        </w:rPr>
        <w:drawing>
          <wp:inline distT="0" distB="0" distL="0" distR="0" wp14:anchorId="5C3CF02F" wp14:editId="28D715BD">
            <wp:extent cx="5264150" cy="392874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9665" t="23158" r="30712" b="13091"/>
                    <a:stretch/>
                  </pic:blipFill>
                  <pic:spPr bwMode="auto">
                    <a:xfrm>
                      <a:off x="0" y="0"/>
                      <a:ext cx="5321683" cy="3971683"/>
                    </a:xfrm>
                    <a:prstGeom prst="rect">
                      <a:avLst/>
                    </a:prstGeom>
                    <a:ln>
                      <a:noFill/>
                    </a:ln>
                    <a:extLst>
                      <a:ext uri="{53640926-AAD7-44D8-BBD7-CCE9431645EC}">
                        <a14:shadowObscured xmlns:a14="http://schemas.microsoft.com/office/drawing/2010/main"/>
                      </a:ext>
                    </a:extLst>
                  </pic:spPr>
                </pic:pic>
              </a:graphicData>
            </a:graphic>
          </wp:inline>
        </w:drawing>
      </w:r>
    </w:p>
    <w:p w14:paraId="53B832E6" w14:textId="77777777" w:rsidR="00E90D2A" w:rsidRPr="006E74A5" w:rsidRDefault="00E90D2A" w:rsidP="00E90D2A">
      <w:pPr>
        <w:pBdr>
          <w:top w:val="nil"/>
          <w:left w:val="nil"/>
          <w:bottom w:val="nil"/>
          <w:right w:val="nil"/>
          <w:between w:val="nil"/>
        </w:pBdr>
        <w:spacing w:after="0" w:line="240" w:lineRule="auto"/>
        <w:jc w:val="center"/>
        <w:rPr>
          <w:rFonts w:ascii="Garamond" w:eastAsia="Calibri" w:hAnsi="Garamond" w:cstheme="majorHAnsi"/>
        </w:rPr>
      </w:pPr>
    </w:p>
    <w:p w14:paraId="5C858702" w14:textId="77777777" w:rsidR="00E90D2A" w:rsidRPr="006E74A5" w:rsidRDefault="00E90D2A" w:rsidP="00E90D2A">
      <w:pPr>
        <w:spacing w:after="0" w:line="240" w:lineRule="auto"/>
        <w:ind w:left="284"/>
        <w:rPr>
          <w:rFonts w:ascii="Garamond" w:eastAsia="Arial" w:hAnsi="Garamond" w:cstheme="majorHAnsi"/>
          <w:highlight w:val="white"/>
        </w:rPr>
      </w:pPr>
      <w:r w:rsidRPr="006E74A5">
        <w:rPr>
          <w:rFonts w:ascii="Garamond" w:eastAsia="Arial" w:hAnsi="Garamond" w:cstheme="majorHAnsi"/>
          <w:highlight w:val="white"/>
        </w:rPr>
        <w:t>Todas las intervenciones que se desarrollen en las mallas del espacio pú</w:t>
      </w:r>
      <w:r w:rsidRPr="00881A2E">
        <w:rPr>
          <w:rFonts w:ascii="Garamond" w:eastAsia="Arial" w:hAnsi="Garamond" w:cstheme="majorHAnsi"/>
        </w:rPr>
        <w:t>blico para la movilidad deberán respetar los trazados y determinaciones urbanísticas contenidas en el plan y en los instrumentos de planeación y actos administrativos que lo reglamenten.</w:t>
      </w:r>
    </w:p>
    <w:p w14:paraId="09992F52" w14:textId="77777777" w:rsidR="00E90D2A" w:rsidRPr="006E74A5" w:rsidRDefault="00E90D2A" w:rsidP="00E90D2A">
      <w:pPr>
        <w:spacing w:after="0" w:line="240" w:lineRule="auto"/>
        <w:ind w:left="284"/>
        <w:rPr>
          <w:rFonts w:ascii="Garamond" w:eastAsia="Arial" w:hAnsi="Garamond" w:cstheme="majorHAnsi"/>
          <w:highlight w:val="white"/>
        </w:rPr>
      </w:pPr>
    </w:p>
    <w:p w14:paraId="54B91D3A" w14:textId="77777777" w:rsidR="00E90D2A" w:rsidRPr="006E74A5" w:rsidRDefault="00E90D2A" w:rsidP="00E90D2A">
      <w:pPr>
        <w:spacing w:after="0" w:line="240" w:lineRule="auto"/>
        <w:ind w:left="284"/>
        <w:rPr>
          <w:rFonts w:ascii="Garamond" w:eastAsia="Arial" w:hAnsi="Garamond" w:cstheme="majorHAnsi"/>
          <w:highlight w:val="white"/>
        </w:rPr>
      </w:pPr>
      <w:r w:rsidRPr="006E74A5">
        <w:rPr>
          <w:rFonts w:ascii="Garamond" w:eastAsia="Arial" w:hAnsi="Garamond" w:cstheme="majorHAnsi"/>
          <w:highlight w:val="white"/>
        </w:rPr>
        <w:t>Parágrafo 1. Las mallas intermedia y local en terrenos en proceso de urbanización deberán ser construidas y cedidas gratuitamente al Distrito por parte del urbanizador responsable, y deberá ajustarse a las determinaciones técnicas establecidas para la misma, en el presente Plan y/o en los planes parciales y licencias urbanísticas respectivas. El seguimiento y acompañamiento técnico de este tipo de obras y de las que se desarrollen en la malla arterial por parte de los urbanizadores estará a cargo del Instituto de Desarrollo Urbano –IDU-.</w:t>
      </w:r>
    </w:p>
    <w:p w14:paraId="5CA31C00" w14:textId="77777777" w:rsidR="00E90D2A" w:rsidRPr="006E74A5" w:rsidRDefault="00E90D2A" w:rsidP="00E90D2A">
      <w:pPr>
        <w:spacing w:after="0" w:line="240" w:lineRule="auto"/>
        <w:ind w:left="284"/>
        <w:rPr>
          <w:rFonts w:ascii="Garamond" w:eastAsia="Arial" w:hAnsi="Garamond" w:cstheme="majorHAnsi"/>
          <w:highlight w:val="white"/>
        </w:rPr>
      </w:pPr>
    </w:p>
    <w:p w14:paraId="78761559" w14:textId="77777777" w:rsidR="00E90D2A" w:rsidRPr="006E74A5" w:rsidRDefault="00E90D2A" w:rsidP="00E90D2A">
      <w:pPr>
        <w:spacing w:after="0" w:line="240" w:lineRule="auto"/>
        <w:ind w:left="284"/>
        <w:rPr>
          <w:rFonts w:ascii="Garamond" w:eastAsia="Arial" w:hAnsi="Garamond" w:cstheme="majorHAnsi"/>
          <w:highlight w:val="white"/>
        </w:rPr>
      </w:pPr>
      <w:r w:rsidRPr="006E74A5">
        <w:rPr>
          <w:rFonts w:ascii="Garamond" w:eastAsia="Arial" w:hAnsi="Garamond" w:cstheme="majorHAnsi"/>
          <w:highlight w:val="white"/>
        </w:rPr>
        <w:lastRenderedPageBreak/>
        <w:t>Parágrafo 2. Las calles de la malla local e intermedia podrán intervenirse con esquemas de financiación público comunitaria y con apoyo del sector privado. Sin perjuicio de las demás fuentes de financiación e instrumentos contemplados en el presente plan, estos esquemas podrán contemplar como aporte el trabajo de los residentes y propietarios de las zonas a intervenir, y los aportes públicos podrán financiar la intervención con contraprestaciones dinerarias cobradas por plazos a los predios colindantes con las obras realizadas.</w:t>
      </w:r>
    </w:p>
    <w:p w14:paraId="651DE001" w14:textId="77777777" w:rsidR="00E90D2A" w:rsidRPr="006E74A5" w:rsidRDefault="00E90D2A" w:rsidP="00E90D2A">
      <w:pPr>
        <w:shd w:val="clear" w:color="auto" w:fill="FFFFFF"/>
        <w:spacing w:after="0" w:line="240" w:lineRule="auto"/>
        <w:ind w:left="284"/>
        <w:rPr>
          <w:rFonts w:ascii="Garamond" w:eastAsia="Arial" w:hAnsi="Garamond" w:cstheme="majorHAnsi"/>
          <w:highlight w:val="white"/>
          <w14:textOutline w14:w="9525" w14:cap="rnd" w14:cmpd="sng" w14:algn="ctr">
            <w14:noFill/>
            <w14:prstDash w14:val="solid"/>
            <w14:bevel/>
          </w14:textOutline>
        </w:rPr>
      </w:pPr>
      <w:r w:rsidRPr="006E74A5">
        <w:rPr>
          <w:rFonts w:ascii="Garamond" w:eastAsia="Arial" w:hAnsi="Garamond" w:cstheme="majorHAnsi"/>
          <w:highlight w:val="white"/>
          <w14:textOutline w14:w="9525" w14:cap="rnd" w14:cmpd="sng" w14:algn="ctr">
            <w14:noFill/>
            <w14:prstDash w14:val="solid"/>
            <w14:bevel/>
          </w14:textOutline>
        </w:rPr>
        <w:t> </w:t>
      </w:r>
    </w:p>
    <w:p w14:paraId="46277D20" w14:textId="77777777" w:rsidR="00E90D2A" w:rsidRPr="006E74A5" w:rsidRDefault="00E90D2A" w:rsidP="00E90D2A">
      <w:pPr>
        <w:shd w:val="clear" w:color="auto" w:fill="FFFFFF"/>
        <w:spacing w:after="0" w:line="240" w:lineRule="auto"/>
        <w:ind w:left="284"/>
        <w:rPr>
          <w:rFonts w:ascii="Garamond" w:eastAsia="Arial" w:hAnsi="Garamond" w:cstheme="majorHAnsi"/>
          <w:highlight w:val="white"/>
        </w:rPr>
      </w:pPr>
      <w:r w:rsidRPr="006E74A5">
        <w:rPr>
          <w:rFonts w:ascii="Garamond" w:eastAsia="Arial" w:hAnsi="Garamond" w:cstheme="majorHAnsi"/>
          <w:highlight w:val="white"/>
        </w:rPr>
        <w:t>Parágrafo 3. En el desarrollo de proyectos que se hagan como parte de las estrategias de intervención de la estructura funcional y del cuidado, otras entidades públicas, y terceros autorizados por la administración distrital podrán intervenir el espacio público para la movilidad en el marco de lo definido en la estructuración y modelo de gestión de cada intervención. </w:t>
      </w:r>
    </w:p>
    <w:p w14:paraId="73F80AA4" w14:textId="77777777" w:rsidR="00E90D2A" w:rsidRPr="006E74A5" w:rsidRDefault="00E90D2A" w:rsidP="00E90D2A">
      <w:pPr>
        <w:pBdr>
          <w:top w:val="nil"/>
          <w:left w:val="nil"/>
          <w:bottom w:val="nil"/>
          <w:right w:val="nil"/>
          <w:between w:val="nil"/>
        </w:pBdr>
        <w:spacing w:after="0" w:line="240" w:lineRule="auto"/>
        <w:ind w:left="284"/>
        <w:jc w:val="center"/>
        <w:rPr>
          <w:rFonts w:ascii="Garamond" w:eastAsia="Arial" w:hAnsi="Garamond" w:cstheme="majorHAnsi"/>
          <w:highlight w:val="white"/>
        </w:rPr>
      </w:pPr>
    </w:p>
    <w:p w14:paraId="0DBD2380" w14:textId="77777777" w:rsidR="00E90D2A" w:rsidRPr="006E74A5" w:rsidRDefault="00E90D2A" w:rsidP="00E90D2A">
      <w:pPr>
        <w:pBdr>
          <w:top w:val="nil"/>
          <w:left w:val="nil"/>
          <w:bottom w:val="nil"/>
          <w:right w:val="nil"/>
          <w:between w:val="nil"/>
        </w:pBdr>
        <w:spacing w:after="0" w:line="240" w:lineRule="auto"/>
        <w:rPr>
          <w:rFonts w:ascii="Garamond" w:eastAsia="Calibri" w:hAnsi="Garamond" w:cstheme="majorHAnsi"/>
        </w:rPr>
      </w:pPr>
      <w:r w:rsidRPr="006E74A5">
        <w:rPr>
          <w:rFonts w:ascii="Garamond" w:eastAsia="Calibri" w:hAnsi="Garamond" w:cstheme="majorHAnsi"/>
        </w:rPr>
        <w:t>En complemento con los artículos del POT, a continuación, se referencian otros artículos y decretos de carácter distrital que sirven de marco legal para el presente convenio.</w:t>
      </w:r>
    </w:p>
    <w:p w14:paraId="2C07AAF6" w14:textId="77777777" w:rsidR="00E90D2A" w:rsidRPr="006E74A5" w:rsidRDefault="00E90D2A" w:rsidP="00E90D2A">
      <w:pPr>
        <w:pBdr>
          <w:top w:val="nil"/>
          <w:left w:val="nil"/>
          <w:bottom w:val="nil"/>
          <w:right w:val="nil"/>
          <w:between w:val="nil"/>
        </w:pBdr>
        <w:spacing w:after="0" w:line="240" w:lineRule="auto"/>
        <w:ind w:left="284"/>
        <w:rPr>
          <w:rFonts w:ascii="Garamond" w:eastAsia="Calibri" w:hAnsi="Garamond" w:cstheme="majorHAnsi"/>
        </w:rPr>
      </w:pPr>
    </w:p>
    <w:p w14:paraId="3D366174" w14:textId="77777777" w:rsidR="00E90D2A" w:rsidRPr="00881A2E" w:rsidRDefault="00E90D2A" w:rsidP="00E90D2A">
      <w:pPr>
        <w:pStyle w:val="Prrafodelista"/>
        <w:numPr>
          <w:ilvl w:val="0"/>
          <w:numId w:val="59"/>
        </w:numPr>
        <w:spacing w:after="0" w:line="240" w:lineRule="auto"/>
        <w:textDirection w:val="btLr"/>
        <w:rPr>
          <w:rFonts w:ascii="Garamond" w:eastAsia="Arial Narrow" w:hAnsi="Garamond" w:cstheme="majorHAnsi"/>
          <w:b/>
        </w:rPr>
      </w:pPr>
      <w:r w:rsidRPr="00881A2E">
        <w:rPr>
          <w:rFonts w:ascii="Garamond" w:eastAsia="Arial Narrow" w:hAnsi="Garamond" w:cstheme="majorHAnsi"/>
          <w:b/>
        </w:rPr>
        <w:t xml:space="preserve">DECRETO 497-2023 Plan de Movilidad Sostenible y Segura - PMSS - para Bogotá Distrito Capital </w:t>
      </w:r>
    </w:p>
    <w:p w14:paraId="6A4580EB" w14:textId="77777777" w:rsidR="00E90D2A" w:rsidRPr="006E74A5" w:rsidRDefault="00E90D2A" w:rsidP="00E90D2A">
      <w:pPr>
        <w:spacing w:after="0" w:line="240" w:lineRule="auto"/>
        <w:textDirection w:val="btLr"/>
        <w:rPr>
          <w:rFonts w:ascii="Garamond" w:hAnsi="Garamond" w:cstheme="majorHAnsi"/>
        </w:rPr>
      </w:pPr>
    </w:p>
    <w:p w14:paraId="076FB927" w14:textId="77777777" w:rsidR="00E90D2A" w:rsidRPr="006E74A5" w:rsidRDefault="00E90D2A" w:rsidP="00E90D2A">
      <w:pPr>
        <w:spacing w:after="0" w:line="240" w:lineRule="auto"/>
        <w:ind w:left="567"/>
        <w:textDirection w:val="btLr"/>
        <w:rPr>
          <w:rFonts w:ascii="Garamond" w:eastAsia="Arial" w:hAnsi="Garamond" w:cstheme="majorHAnsi"/>
          <w:b/>
          <w:bCs/>
        </w:rPr>
      </w:pPr>
      <w:r w:rsidRPr="006E74A5">
        <w:rPr>
          <w:rFonts w:ascii="Garamond" w:eastAsia="Arial" w:hAnsi="Garamond" w:cstheme="majorHAnsi"/>
          <w:b/>
          <w:bCs/>
          <w:highlight w:val="white"/>
        </w:rPr>
        <w:t xml:space="preserve">OBJETIVOS SECTORIALES: </w:t>
      </w:r>
    </w:p>
    <w:p w14:paraId="641EB15B" w14:textId="77777777" w:rsidR="00E90D2A" w:rsidRPr="006E74A5" w:rsidRDefault="00E90D2A" w:rsidP="00E90D2A">
      <w:pPr>
        <w:spacing w:after="0" w:line="240" w:lineRule="auto"/>
        <w:ind w:left="567"/>
        <w:textDirection w:val="btLr"/>
        <w:rPr>
          <w:rFonts w:ascii="Garamond" w:hAnsi="Garamond" w:cstheme="majorHAnsi"/>
          <w:b/>
          <w:bCs/>
        </w:rPr>
      </w:pPr>
    </w:p>
    <w:p w14:paraId="0886E600" w14:textId="77777777" w:rsidR="00E90D2A" w:rsidRPr="006E74A5" w:rsidRDefault="00E90D2A" w:rsidP="00E90D2A">
      <w:pPr>
        <w:spacing w:after="0" w:line="240" w:lineRule="auto"/>
        <w:ind w:left="851" w:hanging="284"/>
        <w:textDirection w:val="btLr"/>
        <w:rPr>
          <w:rFonts w:ascii="Garamond" w:eastAsia="Arial" w:hAnsi="Garamond" w:cstheme="majorHAnsi"/>
          <w:highlight w:val="white"/>
        </w:rPr>
      </w:pPr>
      <w:r w:rsidRPr="006E74A5">
        <w:rPr>
          <w:rFonts w:ascii="Garamond" w:eastAsia="Arial" w:hAnsi="Garamond" w:cstheme="majorHAnsi"/>
          <w:highlight w:val="white"/>
        </w:rPr>
        <w:t xml:space="preserve">1. Consolidar un sistema de movilidad sostenible y descarbonizado, pasando de una ciudad dependiente de buses y automóviles a un sistema multimodal de transporte público desde lo Regional a lo Local, basado en una red de metro con 5 líneas, alimentado por 2 </w:t>
      </w:r>
      <w:proofErr w:type="spellStart"/>
      <w:r w:rsidRPr="006E74A5">
        <w:rPr>
          <w:rFonts w:ascii="Garamond" w:eastAsia="Arial" w:hAnsi="Garamond" w:cstheme="majorHAnsi"/>
          <w:highlight w:val="white"/>
        </w:rPr>
        <w:t>Regiotram</w:t>
      </w:r>
      <w:proofErr w:type="spellEnd"/>
      <w:r w:rsidRPr="006E74A5">
        <w:rPr>
          <w:rFonts w:ascii="Garamond" w:eastAsia="Arial" w:hAnsi="Garamond" w:cstheme="majorHAnsi"/>
          <w:highlight w:val="white"/>
        </w:rPr>
        <w:t xml:space="preserve">, 22 Corredores Verdes de alta y media capacidad, 7 Cables Aéreos, 499 km de </w:t>
      </w:r>
      <w:proofErr w:type="spellStart"/>
      <w:r w:rsidRPr="006E74A5">
        <w:rPr>
          <w:rFonts w:ascii="Garamond" w:eastAsia="Arial" w:hAnsi="Garamond" w:cstheme="majorHAnsi"/>
          <w:highlight w:val="white"/>
        </w:rPr>
        <w:t>Cicloinfraestructura</w:t>
      </w:r>
      <w:proofErr w:type="spellEnd"/>
      <w:r w:rsidRPr="006E74A5">
        <w:rPr>
          <w:rFonts w:ascii="Garamond" w:eastAsia="Arial" w:hAnsi="Garamond" w:cstheme="majorHAnsi"/>
          <w:highlight w:val="white"/>
        </w:rPr>
        <w:t xml:space="preserve"> nuevos y a su vez en la escala Local con el Sistema Integrado de Transporte Público - SITP.</w:t>
      </w:r>
    </w:p>
    <w:p w14:paraId="3A323DBB" w14:textId="77777777" w:rsidR="00E90D2A" w:rsidRPr="006E74A5" w:rsidRDefault="00E90D2A" w:rsidP="00E90D2A">
      <w:pPr>
        <w:spacing w:after="0" w:line="240" w:lineRule="auto"/>
        <w:ind w:left="851" w:hanging="284"/>
        <w:textDirection w:val="btLr"/>
        <w:rPr>
          <w:rFonts w:ascii="Garamond" w:eastAsia="Arial" w:hAnsi="Garamond" w:cstheme="majorHAnsi"/>
          <w:highlight w:val="white"/>
        </w:rPr>
      </w:pPr>
      <w:r w:rsidRPr="006E74A5">
        <w:rPr>
          <w:rFonts w:ascii="Garamond" w:eastAsia="Arial" w:hAnsi="Garamond" w:cstheme="majorHAnsi"/>
          <w:highlight w:val="white"/>
        </w:rPr>
        <w:t xml:space="preserve"> </w:t>
      </w:r>
    </w:p>
    <w:p w14:paraId="3476FD76" w14:textId="77777777" w:rsidR="00E90D2A" w:rsidRPr="006E74A5" w:rsidRDefault="00E90D2A" w:rsidP="00E90D2A">
      <w:pPr>
        <w:spacing w:after="0" w:line="240" w:lineRule="auto"/>
        <w:ind w:left="851" w:hanging="284"/>
        <w:textDirection w:val="btLr"/>
        <w:rPr>
          <w:rFonts w:ascii="Garamond" w:eastAsia="Arial" w:hAnsi="Garamond" w:cstheme="majorHAnsi"/>
          <w:highlight w:val="white"/>
        </w:rPr>
      </w:pPr>
      <w:r w:rsidRPr="006E74A5">
        <w:rPr>
          <w:rFonts w:ascii="Garamond" w:eastAsia="Arial" w:hAnsi="Garamond" w:cstheme="majorHAnsi"/>
          <w:highlight w:val="white"/>
        </w:rPr>
        <w:t>2. Implementar una red de espacio público para la movilidad que tenga como eje principal al peatón aplicando la estrategia de calles completas.</w:t>
      </w:r>
    </w:p>
    <w:p w14:paraId="53E65921" w14:textId="77777777" w:rsidR="00E90D2A" w:rsidRPr="006E74A5" w:rsidRDefault="00E90D2A" w:rsidP="00E90D2A">
      <w:pPr>
        <w:spacing w:after="0" w:line="240" w:lineRule="auto"/>
        <w:ind w:left="851" w:hanging="284"/>
        <w:textDirection w:val="btLr"/>
        <w:rPr>
          <w:rFonts w:ascii="Garamond" w:eastAsia="Arial" w:hAnsi="Garamond" w:cstheme="majorHAnsi"/>
          <w:highlight w:val="white"/>
        </w:rPr>
      </w:pPr>
      <w:r w:rsidRPr="006E74A5">
        <w:rPr>
          <w:rFonts w:ascii="Garamond" w:eastAsia="Arial" w:hAnsi="Garamond" w:cstheme="majorHAnsi"/>
          <w:highlight w:val="white"/>
        </w:rPr>
        <w:t>3. Fortalecer la red de transporte de carga y logística terrestre, férrea y aérea de la Región Metropolitana Bogotá - Cundinamarca a través del desarrollo de la gobernanza regional en articulación con la Agencia Regional de Movilidad - ARM.</w:t>
      </w:r>
    </w:p>
    <w:p w14:paraId="46F628D8" w14:textId="77777777" w:rsidR="00E90D2A" w:rsidRPr="006E74A5" w:rsidRDefault="00E90D2A" w:rsidP="00E90D2A">
      <w:pPr>
        <w:spacing w:after="0" w:line="240" w:lineRule="auto"/>
        <w:ind w:left="851" w:hanging="284"/>
        <w:textDirection w:val="btLr"/>
        <w:rPr>
          <w:rFonts w:ascii="Garamond" w:eastAsia="Arial" w:hAnsi="Garamond" w:cstheme="majorHAnsi"/>
          <w:highlight w:val="white"/>
        </w:rPr>
      </w:pPr>
      <w:r w:rsidRPr="006E74A5">
        <w:rPr>
          <w:rFonts w:ascii="Garamond" w:eastAsia="Arial" w:hAnsi="Garamond" w:cstheme="majorHAnsi"/>
          <w:highlight w:val="white"/>
        </w:rPr>
        <w:t>4. Contribuir a la construcción de un territorio inteligente, seguro y cuidador para mejorar la experiencia de viaje, los servicios para la ciudadanía y la competitividad en la Ciudad Región.</w:t>
      </w:r>
    </w:p>
    <w:p w14:paraId="6C89C8D9" w14:textId="77777777" w:rsidR="00E90D2A" w:rsidRDefault="00E90D2A" w:rsidP="00E90D2A">
      <w:pPr>
        <w:pBdr>
          <w:top w:val="nil"/>
          <w:left w:val="nil"/>
          <w:bottom w:val="nil"/>
          <w:right w:val="nil"/>
          <w:between w:val="nil"/>
        </w:pBdr>
        <w:spacing w:after="0" w:line="240" w:lineRule="auto"/>
        <w:rPr>
          <w:rFonts w:ascii="Garamond" w:eastAsia="Calibri" w:hAnsi="Garamond" w:cstheme="majorHAnsi"/>
        </w:rPr>
      </w:pPr>
    </w:p>
    <w:p w14:paraId="7CEB19A0" w14:textId="77777777" w:rsidR="00E90D2A" w:rsidRDefault="00E90D2A" w:rsidP="00E90D2A">
      <w:pPr>
        <w:pBdr>
          <w:top w:val="nil"/>
          <w:left w:val="nil"/>
          <w:bottom w:val="nil"/>
          <w:right w:val="nil"/>
          <w:between w:val="nil"/>
        </w:pBdr>
        <w:spacing w:after="0" w:line="240" w:lineRule="auto"/>
        <w:rPr>
          <w:rFonts w:ascii="Garamond" w:eastAsia="Calibri" w:hAnsi="Garamond" w:cstheme="majorHAnsi"/>
        </w:rPr>
      </w:pPr>
      <w:r>
        <w:rPr>
          <w:rFonts w:ascii="Garamond" w:eastAsia="Calibri" w:hAnsi="Garamond" w:cstheme="majorHAnsi"/>
        </w:rPr>
        <w:t xml:space="preserve">En todo caso y para todos los efectos, las intervenciones objeto del </w:t>
      </w:r>
      <w:r w:rsidRPr="006E74A5">
        <w:rPr>
          <w:rFonts w:ascii="Garamond" w:eastAsia="Calibri" w:hAnsi="Garamond" w:cstheme="majorHAnsi"/>
        </w:rPr>
        <w:t xml:space="preserve">convenio interadministrativo </w:t>
      </w:r>
      <w:r>
        <w:rPr>
          <w:rFonts w:ascii="Garamond" w:eastAsia="Calibri" w:hAnsi="Garamond" w:cstheme="majorHAnsi"/>
        </w:rPr>
        <w:t xml:space="preserve">darán </w:t>
      </w:r>
      <w:r w:rsidRPr="006E74A5">
        <w:rPr>
          <w:rFonts w:ascii="Garamond" w:eastAsia="Calibri" w:hAnsi="Garamond" w:cstheme="majorHAnsi"/>
        </w:rPr>
        <w:t>cumpli</w:t>
      </w:r>
      <w:r>
        <w:rPr>
          <w:rFonts w:ascii="Garamond" w:eastAsia="Calibri" w:hAnsi="Garamond" w:cstheme="majorHAnsi"/>
        </w:rPr>
        <w:t>miento a</w:t>
      </w:r>
      <w:r w:rsidRPr="006E74A5">
        <w:rPr>
          <w:rFonts w:ascii="Garamond" w:eastAsia="Calibri" w:hAnsi="Garamond" w:cstheme="majorHAnsi"/>
        </w:rPr>
        <w:t xml:space="preserve"> las normas y especificaciones técnicas vigentes y propias de cada proyecto que sea priorizado, de conformidad con lo previsto en los estudios previos, teniendo en cuenta los principios de economía, celeridad y calidad.</w:t>
      </w:r>
    </w:p>
    <w:p w14:paraId="6243056F" w14:textId="77777777" w:rsidR="00E90D2A" w:rsidRPr="006E74A5" w:rsidRDefault="00E90D2A" w:rsidP="00E90D2A">
      <w:pPr>
        <w:pBdr>
          <w:top w:val="nil"/>
          <w:left w:val="nil"/>
          <w:bottom w:val="nil"/>
          <w:right w:val="nil"/>
          <w:between w:val="nil"/>
        </w:pBdr>
        <w:spacing w:after="0" w:line="240" w:lineRule="auto"/>
        <w:rPr>
          <w:rFonts w:ascii="Garamond" w:eastAsia="Calibri" w:hAnsi="Garamond" w:cstheme="majorHAnsi"/>
          <w:b/>
        </w:rPr>
      </w:pPr>
    </w:p>
    <w:p w14:paraId="40346C55" w14:textId="77777777" w:rsidR="00E90D2A" w:rsidRPr="006E74A5" w:rsidRDefault="00E90D2A" w:rsidP="00E90D2A">
      <w:pPr>
        <w:pStyle w:val="Ttulo1"/>
        <w:numPr>
          <w:ilvl w:val="0"/>
          <w:numId w:val="3"/>
        </w:numPr>
        <w:spacing w:before="0" w:after="0"/>
        <w:rPr>
          <w:rFonts w:ascii="Garamond" w:hAnsi="Garamond"/>
          <w:color w:val="auto"/>
          <w:sz w:val="22"/>
          <w:szCs w:val="22"/>
        </w:rPr>
      </w:pPr>
      <w:r w:rsidRPr="006E74A5">
        <w:rPr>
          <w:rFonts w:ascii="Garamond" w:hAnsi="Garamond"/>
          <w:color w:val="auto"/>
          <w:sz w:val="22"/>
          <w:szCs w:val="22"/>
        </w:rPr>
        <w:t>RUTA OPERATIVA</w:t>
      </w:r>
      <w:bookmarkEnd w:id="11"/>
    </w:p>
    <w:p w14:paraId="362CE022" w14:textId="77777777" w:rsidR="00E90D2A" w:rsidRPr="006E74A5" w:rsidRDefault="00E90D2A" w:rsidP="00E90D2A">
      <w:pPr>
        <w:spacing w:after="0" w:line="240" w:lineRule="auto"/>
        <w:textAlignment w:val="baseline"/>
        <w:rPr>
          <w:rFonts w:ascii="Garamond" w:hAnsi="Garamond" w:cs="Arial"/>
        </w:rPr>
      </w:pPr>
    </w:p>
    <w:p w14:paraId="729F375D" w14:textId="77777777" w:rsidR="00E90D2A" w:rsidRDefault="00E90D2A" w:rsidP="00E90D2A">
      <w:pPr>
        <w:pBdr>
          <w:top w:val="nil"/>
          <w:left w:val="nil"/>
          <w:bottom w:val="nil"/>
          <w:right w:val="nil"/>
          <w:between w:val="nil"/>
        </w:pBdr>
        <w:spacing w:after="0" w:line="240" w:lineRule="auto"/>
        <w:rPr>
          <w:rFonts w:ascii="Garamond" w:eastAsia="Calibri" w:hAnsi="Garamond" w:cstheme="majorHAnsi"/>
          <w:bCs/>
        </w:rPr>
      </w:pPr>
      <w:r w:rsidRPr="006E74A5">
        <w:rPr>
          <w:rFonts w:ascii="Garamond" w:eastAsia="Calibri" w:hAnsi="Garamond" w:cstheme="majorHAnsi"/>
          <w:bCs/>
        </w:rPr>
        <w:t xml:space="preserve">La estrategia colaborativa de la UAERMV con el fondo de desarrollo local consiste básicamente en atender ágilmente las priorizaciones que por su importancia para la comunidad deben ser intervenidos en el menor tiempo posible. </w:t>
      </w:r>
    </w:p>
    <w:p w14:paraId="611BE1C5" w14:textId="77777777" w:rsidR="00E90D2A" w:rsidRPr="006E74A5" w:rsidRDefault="00E90D2A" w:rsidP="00E90D2A">
      <w:pPr>
        <w:pBdr>
          <w:top w:val="nil"/>
          <w:left w:val="nil"/>
          <w:bottom w:val="nil"/>
          <w:right w:val="nil"/>
          <w:between w:val="nil"/>
        </w:pBdr>
        <w:spacing w:after="0" w:line="240" w:lineRule="auto"/>
        <w:rPr>
          <w:rFonts w:ascii="Garamond" w:eastAsia="Calibri" w:hAnsi="Garamond" w:cstheme="majorHAnsi"/>
          <w:bCs/>
        </w:rPr>
      </w:pPr>
    </w:p>
    <w:p w14:paraId="05B12D7E" w14:textId="71A7E798" w:rsidR="00E90D2A" w:rsidRDefault="00E90D2A" w:rsidP="00E90D2A">
      <w:pPr>
        <w:spacing w:after="0" w:line="240" w:lineRule="auto"/>
        <w:rPr>
          <w:rFonts w:ascii="Garamond" w:eastAsia="Calibri" w:hAnsi="Garamond" w:cstheme="majorHAnsi"/>
          <w:bCs/>
        </w:rPr>
      </w:pPr>
      <w:r w:rsidRPr="006E74A5">
        <w:rPr>
          <w:rFonts w:ascii="Garamond" w:eastAsia="Calibri" w:hAnsi="Garamond" w:cstheme="majorHAnsi"/>
          <w:bCs/>
        </w:rPr>
        <w:t xml:space="preserve">Así las cosas, el convenio comporta la ejecución de dos etapas, </w:t>
      </w:r>
      <w:r w:rsidRPr="00CE4659">
        <w:rPr>
          <w:rFonts w:ascii="Garamond" w:hAnsi="Garamond"/>
          <w:b/>
        </w:rPr>
        <w:t>ETAPA I</w:t>
      </w:r>
      <w:r w:rsidRPr="006E74A5">
        <w:rPr>
          <w:rFonts w:ascii="Garamond" w:hAnsi="Garamond"/>
        </w:rPr>
        <w:t xml:space="preserve"> DE ALISTAMIENTO ADMINISTRATIVO, PLANEACIÓN – ELABORACIÓN DE DISEÑOS, PRESUPUESTO Y DE GESTIÓN Y OBTENCIÓN DE PERMISOS Y/O LICENCIAS Y AUTORIZACIONES </w:t>
      </w:r>
      <w:r>
        <w:rPr>
          <w:rFonts w:ascii="Garamond" w:eastAsia="Calibri" w:hAnsi="Garamond" w:cstheme="majorHAnsi"/>
          <w:bCs/>
        </w:rPr>
        <w:t xml:space="preserve">y </w:t>
      </w:r>
      <w:r w:rsidRPr="00CE4659">
        <w:rPr>
          <w:rFonts w:ascii="Garamond" w:eastAsia="Calibri" w:hAnsi="Garamond" w:cstheme="majorHAnsi"/>
          <w:b/>
          <w:bCs/>
        </w:rPr>
        <w:t xml:space="preserve">EPATA </w:t>
      </w:r>
      <w:r>
        <w:rPr>
          <w:rFonts w:ascii="Garamond" w:eastAsia="Calibri" w:hAnsi="Garamond" w:cstheme="majorHAnsi"/>
          <w:b/>
          <w:bCs/>
        </w:rPr>
        <w:t>II</w:t>
      </w:r>
      <w:r>
        <w:rPr>
          <w:rFonts w:ascii="Garamond" w:eastAsia="Calibri" w:hAnsi="Garamond" w:cstheme="majorHAnsi"/>
          <w:bCs/>
        </w:rPr>
        <w:t xml:space="preserve"> la EJECUCIÓN del convenio</w:t>
      </w:r>
      <w:r w:rsidRPr="006E74A5">
        <w:rPr>
          <w:rFonts w:ascii="Garamond" w:eastAsia="Calibri" w:hAnsi="Garamond" w:cstheme="majorHAnsi"/>
          <w:bCs/>
        </w:rPr>
        <w:t xml:space="preserve">. </w:t>
      </w:r>
    </w:p>
    <w:p w14:paraId="792AF5F7" w14:textId="77777777" w:rsidR="00E90D2A" w:rsidRPr="006E74A5" w:rsidRDefault="00E90D2A" w:rsidP="00E90D2A">
      <w:pPr>
        <w:spacing w:after="0" w:line="240" w:lineRule="auto"/>
        <w:rPr>
          <w:rFonts w:ascii="Garamond" w:eastAsia="Calibri" w:hAnsi="Garamond" w:cstheme="majorHAnsi"/>
          <w:bCs/>
        </w:rPr>
      </w:pPr>
    </w:p>
    <w:p w14:paraId="002AF19B" w14:textId="77777777" w:rsidR="00E90D2A" w:rsidRPr="006E74A5" w:rsidRDefault="00E90D2A" w:rsidP="00E90D2A">
      <w:pPr>
        <w:pStyle w:val="Ttulo2"/>
        <w:numPr>
          <w:ilvl w:val="1"/>
          <w:numId w:val="3"/>
        </w:numPr>
        <w:spacing w:before="0"/>
        <w:rPr>
          <w:rFonts w:ascii="Garamond" w:hAnsi="Garamond"/>
          <w:sz w:val="22"/>
          <w:szCs w:val="22"/>
        </w:rPr>
      </w:pPr>
      <w:bookmarkStart w:id="12" w:name="_Toc170821833"/>
      <w:bookmarkStart w:id="13" w:name="_Toc172295947"/>
      <w:r w:rsidRPr="006E74A5">
        <w:rPr>
          <w:rFonts w:ascii="Garamond" w:hAnsi="Garamond"/>
          <w:sz w:val="22"/>
          <w:szCs w:val="22"/>
        </w:rPr>
        <w:t xml:space="preserve">ETAPA I DE ALISTAMIENTO ADMINISTRATIVO, PLANEACIÓN – ELABORACIÓN DE DISEÑOS, PRESUPUESTO Y DE GESTIÓN Y OBTENCIÓN DE PERMISOS Y/O LICENCIAS </w:t>
      </w:r>
      <w:bookmarkEnd w:id="12"/>
      <w:bookmarkEnd w:id="13"/>
      <w:r w:rsidRPr="006E74A5">
        <w:rPr>
          <w:rFonts w:ascii="Garamond" w:hAnsi="Garamond"/>
          <w:sz w:val="22"/>
          <w:szCs w:val="22"/>
        </w:rPr>
        <w:t>Y AUTORIZACIONES</w:t>
      </w:r>
    </w:p>
    <w:p w14:paraId="0A8377F1" w14:textId="77777777" w:rsidR="00E90D2A" w:rsidRDefault="00E90D2A" w:rsidP="00E90D2A">
      <w:pPr>
        <w:spacing w:after="0" w:line="240" w:lineRule="auto"/>
        <w:textAlignment w:val="baseline"/>
        <w:rPr>
          <w:rFonts w:ascii="Garamond" w:hAnsi="Garamond" w:cs="Arial"/>
        </w:rPr>
      </w:pPr>
    </w:p>
    <w:p w14:paraId="50F8D992" w14:textId="77777777" w:rsidR="004D7A46" w:rsidRDefault="00E90D2A" w:rsidP="00E90D2A">
      <w:pPr>
        <w:spacing w:after="0" w:line="240" w:lineRule="auto"/>
        <w:textAlignment w:val="baseline"/>
        <w:rPr>
          <w:rFonts w:ascii="Garamond" w:hAnsi="Garamond" w:cs="Arial"/>
        </w:rPr>
      </w:pPr>
      <w:r w:rsidRPr="006E74A5">
        <w:rPr>
          <w:rFonts w:ascii="Garamond" w:hAnsi="Garamond" w:cs="Arial"/>
        </w:rPr>
        <w:t>Teniendo como insumo los segmentos definidos previamente</w:t>
      </w:r>
      <w:r>
        <w:rPr>
          <w:rFonts w:ascii="Garamond" w:hAnsi="Garamond" w:cs="Arial"/>
        </w:rPr>
        <w:t>,</w:t>
      </w:r>
      <w:r w:rsidRPr="006E74A5">
        <w:rPr>
          <w:rFonts w:ascii="Garamond" w:hAnsi="Garamond" w:cs="Arial"/>
        </w:rPr>
        <w:t xml:space="preserve"> la UAERVM </w:t>
      </w:r>
      <w:r>
        <w:rPr>
          <w:rFonts w:ascii="Garamond" w:hAnsi="Garamond" w:cs="Arial"/>
        </w:rPr>
        <w:t xml:space="preserve">realizara los </w:t>
      </w:r>
      <w:r w:rsidRPr="006E74A5">
        <w:rPr>
          <w:rFonts w:ascii="Garamond" w:hAnsi="Garamond" w:cs="Arial"/>
        </w:rPr>
        <w:t>estudios, diseños, presupuesto y la gestión y obtención de permiso</w:t>
      </w:r>
      <w:r>
        <w:rPr>
          <w:rFonts w:ascii="Garamond" w:hAnsi="Garamond" w:cs="Arial"/>
        </w:rPr>
        <w:t>s</w:t>
      </w:r>
      <w:r w:rsidRPr="006E74A5">
        <w:rPr>
          <w:rFonts w:ascii="Garamond" w:hAnsi="Garamond" w:cs="Arial"/>
        </w:rPr>
        <w:t xml:space="preserve">, licencias y/o autorizaciones que se requieran </w:t>
      </w:r>
      <w:r w:rsidRPr="00B93E10">
        <w:rPr>
          <w:rFonts w:ascii="Garamond" w:hAnsi="Garamond" w:cs="Arial"/>
          <w:b/>
          <w:bCs/>
        </w:rPr>
        <w:t>(si aplica).</w:t>
      </w:r>
      <w:r w:rsidRPr="006E74A5">
        <w:rPr>
          <w:rFonts w:ascii="Garamond" w:hAnsi="Garamond" w:cs="Arial"/>
        </w:rPr>
        <w:t xml:space="preserve"> </w:t>
      </w:r>
    </w:p>
    <w:p w14:paraId="4F30B13B" w14:textId="77777777" w:rsidR="004D7A46" w:rsidRDefault="004D7A46" w:rsidP="00E90D2A">
      <w:pPr>
        <w:spacing w:after="0" w:line="240" w:lineRule="auto"/>
        <w:textAlignment w:val="baseline"/>
        <w:rPr>
          <w:rFonts w:ascii="Garamond" w:hAnsi="Garamond" w:cs="Arial"/>
        </w:rPr>
      </w:pPr>
    </w:p>
    <w:p w14:paraId="5339B039" w14:textId="77777777" w:rsidR="00E90D2A" w:rsidRPr="006E74A5" w:rsidRDefault="00E90D2A" w:rsidP="00E90D2A">
      <w:pPr>
        <w:spacing w:after="0" w:line="240" w:lineRule="auto"/>
        <w:textAlignment w:val="baseline"/>
        <w:rPr>
          <w:rFonts w:ascii="Garamond" w:hAnsi="Garamond" w:cs="Arial"/>
        </w:rPr>
      </w:pPr>
    </w:p>
    <w:p w14:paraId="672A4D0D" w14:textId="77777777" w:rsidR="00E90D2A" w:rsidRDefault="00E90D2A" w:rsidP="00E90D2A">
      <w:pPr>
        <w:spacing w:after="0" w:line="240" w:lineRule="auto"/>
        <w:textAlignment w:val="baseline"/>
        <w:rPr>
          <w:rFonts w:ascii="Garamond" w:hAnsi="Garamond" w:cs="Arial"/>
        </w:rPr>
      </w:pPr>
      <w:r w:rsidRPr="006E74A5">
        <w:rPr>
          <w:rFonts w:ascii="Garamond" w:hAnsi="Garamond" w:cs="Arial"/>
        </w:rPr>
        <w:t>Finalizada esta etapa se contará con los</w:t>
      </w:r>
      <w:r>
        <w:rPr>
          <w:rFonts w:ascii="Garamond" w:hAnsi="Garamond" w:cs="Arial"/>
        </w:rPr>
        <w:t xml:space="preserve"> siguientes</w:t>
      </w:r>
      <w:r w:rsidRPr="006E74A5">
        <w:rPr>
          <w:rFonts w:ascii="Garamond" w:hAnsi="Garamond" w:cs="Arial"/>
        </w:rPr>
        <w:t xml:space="preserve"> </w:t>
      </w:r>
      <w:r>
        <w:rPr>
          <w:rFonts w:ascii="Garamond" w:hAnsi="Garamond" w:cs="Arial"/>
        </w:rPr>
        <w:t>productos que serán entregados por la UAERMV:</w:t>
      </w:r>
    </w:p>
    <w:p w14:paraId="5CDADD76" w14:textId="77777777" w:rsidR="00E90D2A" w:rsidRDefault="00E90D2A" w:rsidP="00E90D2A">
      <w:pPr>
        <w:spacing w:after="0" w:line="240" w:lineRule="auto"/>
        <w:textAlignment w:val="baseline"/>
        <w:rPr>
          <w:rFonts w:ascii="Garamond" w:hAnsi="Garamond" w:cs="Arial"/>
        </w:rPr>
      </w:pPr>
    </w:p>
    <w:p w14:paraId="536EEDBB" w14:textId="77777777" w:rsidR="00E90D2A" w:rsidRPr="00377867" w:rsidRDefault="00E90D2A" w:rsidP="00E90D2A">
      <w:pPr>
        <w:spacing w:after="0" w:line="240" w:lineRule="auto"/>
        <w:ind w:left="426"/>
        <w:textAlignment w:val="baseline"/>
        <w:rPr>
          <w:rFonts w:ascii="Garamond" w:hAnsi="Garamond" w:cs="Arial"/>
        </w:rPr>
      </w:pPr>
      <w:r w:rsidRPr="00377867">
        <w:rPr>
          <w:rFonts w:ascii="Garamond" w:hAnsi="Garamond" w:cs="Arial"/>
        </w:rPr>
        <w:lastRenderedPageBreak/>
        <w:t xml:space="preserve">1. Diagnósticos definitivos para la intervención a realizar lo cual estará conformado como mínimo por los documentos técnicos de soporte. </w:t>
      </w:r>
    </w:p>
    <w:p w14:paraId="61A2EE0E" w14:textId="77777777" w:rsidR="00E90D2A" w:rsidRPr="00377867" w:rsidRDefault="00E90D2A" w:rsidP="00E90D2A">
      <w:pPr>
        <w:spacing w:after="0" w:line="240" w:lineRule="auto"/>
        <w:ind w:left="426"/>
        <w:textAlignment w:val="baseline"/>
        <w:rPr>
          <w:rFonts w:ascii="Garamond" w:hAnsi="Garamond" w:cs="Arial"/>
        </w:rPr>
      </w:pPr>
      <w:r w:rsidRPr="00377867">
        <w:rPr>
          <w:rFonts w:ascii="Garamond" w:hAnsi="Garamond" w:cs="Arial"/>
        </w:rPr>
        <w:t>2. Presupuesto definitivo de acuerdo con las condiciones pactadas por segmento para la etapa de ejecución de obras.</w:t>
      </w:r>
    </w:p>
    <w:p w14:paraId="42938818" w14:textId="77777777" w:rsidR="00E90D2A" w:rsidRPr="002B2789" w:rsidRDefault="00E90D2A" w:rsidP="00E90D2A">
      <w:pPr>
        <w:spacing w:after="0" w:line="240" w:lineRule="auto"/>
        <w:ind w:left="426"/>
        <w:textAlignment w:val="baseline"/>
        <w:rPr>
          <w:rFonts w:ascii="Garamond" w:hAnsi="Garamond" w:cs="Arial"/>
        </w:rPr>
      </w:pPr>
      <w:r w:rsidRPr="00377867">
        <w:rPr>
          <w:rFonts w:ascii="Garamond" w:hAnsi="Garamond" w:cs="Arial"/>
        </w:rPr>
        <w:t>3. Cronograma de ejecución ajustado por segmento.</w:t>
      </w:r>
    </w:p>
    <w:p w14:paraId="30D8E7F9" w14:textId="77777777" w:rsidR="00E90D2A" w:rsidRPr="006E74A5" w:rsidRDefault="00E90D2A" w:rsidP="00E90D2A">
      <w:pPr>
        <w:spacing w:after="0" w:line="240" w:lineRule="auto"/>
        <w:textAlignment w:val="baseline"/>
        <w:rPr>
          <w:rFonts w:ascii="Garamond" w:hAnsi="Garamond" w:cs="Arial"/>
        </w:rPr>
      </w:pPr>
    </w:p>
    <w:p w14:paraId="0C47FA7A" w14:textId="5BBAABFE" w:rsidR="00E90D2A" w:rsidRDefault="00E90D2A" w:rsidP="00E90D2A">
      <w:pPr>
        <w:spacing w:after="0" w:line="240" w:lineRule="auto"/>
        <w:textAlignment w:val="baseline"/>
        <w:rPr>
          <w:rFonts w:ascii="Garamond" w:hAnsi="Garamond" w:cs="Arial"/>
        </w:rPr>
      </w:pPr>
      <w:r w:rsidRPr="00E24160">
        <w:rPr>
          <w:rFonts w:ascii="Garamond" w:hAnsi="Garamond" w:cs="Arial"/>
        </w:rPr>
        <w:t>NOTA</w:t>
      </w:r>
      <w:r w:rsidRPr="006E74A5">
        <w:rPr>
          <w:rFonts w:ascii="Garamond" w:hAnsi="Garamond" w:cs="Arial"/>
        </w:rPr>
        <w:t xml:space="preserve">:  En caso de presentarse inconvenientes en la obtención de permisos, licencias o autorizaciones que pongan en riesgo la ejecución del convenio, la UAERMV procederá a comunicar a la supervisión del </w:t>
      </w:r>
      <w:r w:rsidR="00F323CB">
        <w:rPr>
          <w:rFonts w:ascii="Garamond" w:hAnsi="Garamond" w:cs="Arial"/>
        </w:rPr>
        <w:t>FDLM</w:t>
      </w:r>
      <w:r w:rsidRPr="006E74A5">
        <w:rPr>
          <w:rFonts w:ascii="Garamond" w:hAnsi="Garamond" w:cs="Arial"/>
        </w:rPr>
        <w:t xml:space="preserve"> y al comité operativo, con el fin de tomar las decisiones a que haya lugar para evitar exceder el plazo contractual.</w:t>
      </w:r>
    </w:p>
    <w:p w14:paraId="4060C495" w14:textId="77777777" w:rsidR="00E90D2A" w:rsidRDefault="00E90D2A" w:rsidP="00E90D2A">
      <w:pPr>
        <w:spacing w:after="0" w:line="240" w:lineRule="auto"/>
        <w:textAlignment w:val="baseline"/>
        <w:rPr>
          <w:rFonts w:ascii="Garamond" w:hAnsi="Garamond" w:cs="Arial"/>
        </w:rPr>
      </w:pPr>
    </w:p>
    <w:p w14:paraId="5B624CB0" w14:textId="77777777" w:rsidR="00E90D2A" w:rsidRPr="00DE7BF2" w:rsidRDefault="00E90D2A" w:rsidP="00E90D2A">
      <w:pPr>
        <w:spacing w:after="0" w:line="240" w:lineRule="auto"/>
        <w:textAlignment w:val="baseline"/>
        <w:rPr>
          <w:rFonts w:ascii="Garamond" w:hAnsi="Garamond" w:cs="Arial"/>
          <w:b/>
          <w:bCs/>
        </w:rPr>
      </w:pPr>
      <w:r w:rsidRPr="00DE7BF2">
        <w:rPr>
          <w:rFonts w:ascii="Garamond" w:hAnsi="Garamond" w:cs="Arial"/>
          <w:b/>
          <w:bCs/>
        </w:rPr>
        <w:t>10.1.1 Priorización de Proyectos/Intervenciones del convenio</w:t>
      </w:r>
    </w:p>
    <w:p w14:paraId="6524DD7E" w14:textId="77777777" w:rsidR="00E90D2A" w:rsidRDefault="00E90D2A" w:rsidP="00E90D2A">
      <w:pPr>
        <w:spacing w:after="0" w:line="240" w:lineRule="auto"/>
        <w:textAlignment w:val="baseline"/>
        <w:rPr>
          <w:rFonts w:ascii="Garamond" w:hAnsi="Garamond" w:cs="Arial"/>
        </w:rPr>
      </w:pPr>
    </w:p>
    <w:p w14:paraId="525217A5" w14:textId="77777777" w:rsidR="00E90D2A" w:rsidRPr="00E24160" w:rsidRDefault="00E90D2A" w:rsidP="00E90D2A">
      <w:pPr>
        <w:spacing w:after="0" w:line="240" w:lineRule="auto"/>
        <w:textAlignment w:val="baseline"/>
        <w:rPr>
          <w:rFonts w:ascii="Garamond" w:hAnsi="Garamond" w:cs="Arial"/>
        </w:rPr>
      </w:pPr>
      <w:r w:rsidRPr="00E24160">
        <w:rPr>
          <w:rFonts w:ascii="Garamond" w:hAnsi="Garamond" w:cs="Arial"/>
        </w:rPr>
        <w:t xml:space="preserve">Durante la ejecución del convenio </w:t>
      </w:r>
      <w:r>
        <w:rPr>
          <w:rFonts w:ascii="Garamond" w:hAnsi="Garamond" w:cs="Arial"/>
        </w:rPr>
        <w:t xml:space="preserve">las partes de común acuerdo en el marco de la priorización de los segmentos a intervenir en la instancia del comité operativo podrán definir </w:t>
      </w:r>
      <w:r w:rsidRPr="00E24160">
        <w:rPr>
          <w:rFonts w:ascii="Garamond" w:hAnsi="Garamond" w:cs="Arial"/>
        </w:rPr>
        <w:t>la inclusión, exclusión y/o modificación de estos o la necesidad de obras adicionales.</w:t>
      </w:r>
    </w:p>
    <w:p w14:paraId="3261EBDC" w14:textId="77777777" w:rsidR="00E90D2A" w:rsidRDefault="00E90D2A" w:rsidP="00E90D2A">
      <w:pPr>
        <w:spacing w:after="0" w:line="240" w:lineRule="auto"/>
        <w:textAlignment w:val="baseline"/>
        <w:rPr>
          <w:rFonts w:ascii="Garamond" w:hAnsi="Garamond" w:cs="Arial"/>
        </w:rPr>
      </w:pPr>
    </w:p>
    <w:p w14:paraId="71A2255E" w14:textId="77777777" w:rsidR="00E90D2A" w:rsidRDefault="00E90D2A" w:rsidP="00E90D2A">
      <w:pPr>
        <w:spacing w:after="0" w:line="240" w:lineRule="auto"/>
        <w:textAlignment w:val="baseline"/>
        <w:rPr>
          <w:rFonts w:ascii="Garamond" w:hAnsi="Garamond" w:cs="Arial"/>
        </w:rPr>
      </w:pPr>
    </w:p>
    <w:p w14:paraId="15243310" w14:textId="77777777" w:rsidR="007F49E6" w:rsidRDefault="007F49E6" w:rsidP="00E90D2A">
      <w:pPr>
        <w:spacing w:after="0" w:line="240" w:lineRule="auto"/>
        <w:textAlignment w:val="baseline"/>
        <w:rPr>
          <w:rFonts w:ascii="Garamond" w:hAnsi="Garamond" w:cs="Arial"/>
        </w:rPr>
      </w:pPr>
    </w:p>
    <w:p w14:paraId="74808E2B" w14:textId="77777777" w:rsidR="00E90D2A" w:rsidRPr="004D1E76" w:rsidRDefault="00E90D2A" w:rsidP="00E90D2A">
      <w:pPr>
        <w:spacing w:after="0" w:line="240" w:lineRule="auto"/>
        <w:textAlignment w:val="baseline"/>
        <w:rPr>
          <w:rFonts w:ascii="Garamond" w:hAnsi="Garamond" w:cs="Arial"/>
          <w:b/>
          <w:bCs/>
        </w:rPr>
      </w:pPr>
      <w:r w:rsidRPr="004D1E76">
        <w:rPr>
          <w:rFonts w:ascii="Garamond" w:hAnsi="Garamond" w:cs="Arial"/>
          <w:b/>
          <w:bCs/>
        </w:rPr>
        <w:t>10.1.2 Políticas de Operación</w:t>
      </w:r>
    </w:p>
    <w:p w14:paraId="02DAEDC1" w14:textId="77777777" w:rsidR="00E90D2A" w:rsidRDefault="00E90D2A" w:rsidP="00E90D2A">
      <w:pPr>
        <w:spacing w:after="0" w:line="240" w:lineRule="auto"/>
        <w:textAlignment w:val="baseline"/>
        <w:rPr>
          <w:rFonts w:ascii="Garamond" w:hAnsi="Garamond" w:cs="Arial"/>
        </w:rPr>
      </w:pPr>
    </w:p>
    <w:p w14:paraId="23DFA868" w14:textId="77777777" w:rsidR="00E90D2A" w:rsidRPr="004D1E76" w:rsidRDefault="00E90D2A" w:rsidP="00E90D2A">
      <w:pPr>
        <w:rPr>
          <w:rFonts w:ascii="Garamond" w:hAnsi="Garamond" w:cs="Arial"/>
        </w:rPr>
      </w:pPr>
      <w:r>
        <w:rPr>
          <w:rFonts w:ascii="Garamond" w:hAnsi="Garamond" w:cs="Arial"/>
        </w:rPr>
        <w:t xml:space="preserve">La </w:t>
      </w:r>
      <w:r w:rsidRPr="004D1E76">
        <w:rPr>
          <w:rFonts w:ascii="Garamond" w:hAnsi="Garamond" w:cs="Arial"/>
        </w:rPr>
        <w:t xml:space="preserve">UAERMV, </w:t>
      </w:r>
      <w:r>
        <w:rPr>
          <w:rFonts w:ascii="Garamond" w:hAnsi="Garamond" w:cs="Arial"/>
        </w:rPr>
        <w:t xml:space="preserve">a partir de la priorización de segmentos realizada en conjunto </w:t>
      </w:r>
      <w:r w:rsidRPr="004D1E76">
        <w:rPr>
          <w:rFonts w:ascii="Garamond" w:hAnsi="Garamond" w:cs="Arial"/>
        </w:rPr>
        <w:t xml:space="preserve">procederá a </w:t>
      </w:r>
      <w:r>
        <w:rPr>
          <w:rFonts w:ascii="Garamond" w:hAnsi="Garamond" w:cs="Arial"/>
        </w:rPr>
        <w:t>realizar v</w:t>
      </w:r>
      <w:r w:rsidRPr="004D1E76">
        <w:rPr>
          <w:rFonts w:ascii="Garamond" w:hAnsi="Garamond" w:cs="Arial"/>
        </w:rPr>
        <w:t>isita</w:t>
      </w:r>
      <w:r>
        <w:rPr>
          <w:rFonts w:ascii="Garamond" w:hAnsi="Garamond" w:cs="Arial"/>
        </w:rPr>
        <w:t>s de campo</w:t>
      </w:r>
      <w:r w:rsidRPr="004D1E76">
        <w:rPr>
          <w:rFonts w:ascii="Garamond" w:hAnsi="Garamond" w:cs="Arial"/>
        </w:rPr>
        <w:t xml:space="preserve">, </w:t>
      </w:r>
      <w:r>
        <w:rPr>
          <w:rFonts w:ascii="Garamond" w:hAnsi="Garamond" w:cs="Arial"/>
        </w:rPr>
        <w:t>Validar en S</w:t>
      </w:r>
      <w:r w:rsidRPr="004D1E76">
        <w:rPr>
          <w:rFonts w:ascii="Garamond" w:hAnsi="Garamond" w:cs="Arial"/>
        </w:rPr>
        <w:t>IG</w:t>
      </w:r>
      <w:r>
        <w:rPr>
          <w:rFonts w:ascii="Garamond" w:hAnsi="Garamond" w:cs="Arial"/>
        </w:rPr>
        <w:t>MA</w:t>
      </w:r>
      <w:r w:rsidRPr="004D1E76">
        <w:rPr>
          <w:rFonts w:ascii="Garamond" w:hAnsi="Garamond" w:cs="Arial"/>
        </w:rPr>
        <w:t>, estimar presupuestos y alcance de intervenciones</w:t>
      </w:r>
      <w:r>
        <w:rPr>
          <w:rFonts w:ascii="Garamond" w:hAnsi="Garamond" w:cs="Arial"/>
        </w:rPr>
        <w:t xml:space="preserve"> previo al inicio de las intervenciones</w:t>
      </w:r>
      <w:r w:rsidRPr="004D1E76">
        <w:rPr>
          <w:rFonts w:ascii="Garamond" w:hAnsi="Garamond" w:cs="Arial"/>
        </w:rPr>
        <w:t>, y hacer el seguimiento a las mismas, aplicando las siguientes políticas de operación:</w:t>
      </w:r>
    </w:p>
    <w:p w14:paraId="4C4268F3" w14:textId="77777777" w:rsidR="007F49E6" w:rsidRPr="004D1E76" w:rsidRDefault="007F49E6" w:rsidP="007F49E6">
      <w:pPr>
        <w:numPr>
          <w:ilvl w:val="0"/>
          <w:numId w:val="60"/>
        </w:numPr>
        <w:pBdr>
          <w:top w:val="nil"/>
          <w:left w:val="nil"/>
          <w:bottom w:val="nil"/>
          <w:right w:val="nil"/>
          <w:between w:val="nil"/>
        </w:pBdr>
        <w:autoSpaceDE w:val="0"/>
        <w:autoSpaceDN w:val="0"/>
        <w:adjustRightInd w:val="0"/>
        <w:spacing w:after="0" w:line="240" w:lineRule="auto"/>
        <w:rPr>
          <w:rFonts w:ascii="Garamond" w:hAnsi="Garamond" w:cs="Arial"/>
        </w:rPr>
      </w:pPr>
      <w:r w:rsidRPr="004D1E76">
        <w:rPr>
          <w:rFonts w:ascii="Garamond" w:hAnsi="Garamond" w:cs="Arial"/>
        </w:rPr>
        <w:t xml:space="preserve">Se seguirán los </w:t>
      </w:r>
      <w:r>
        <w:rPr>
          <w:rFonts w:ascii="Garamond" w:hAnsi="Garamond" w:cs="Arial"/>
        </w:rPr>
        <w:t>l</w:t>
      </w:r>
      <w:r w:rsidRPr="004D1E76">
        <w:rPr>
          <w:rFonts w:ascii="Garamond" w:hAnsi="Garamond" w:cs="Arial"/>
        </w:rPr>
        <w:t>ineamientos generales para la intervención en el espacio público para la movilidad definidos en Decreto 555 de 2021-art. 153, y en el marco legal del Convenio.</w:t>
      </w:r>
    </w:p>
    <w:p w14:paraId="2AC11004" w14:textId="77777777" w:rsidR="007F49E6" w:rsidRPr="004D1E76" w:rsidRDefault="007F49E6" w:rsidP="007F49E6">
      <w:pPr>
        <w:numPr>
          <w:ilvl w:val="0"/>
          <w:numId w:val="60"/>
        </w:numPr>
        <w:pBdr>
          <w:top w:val="nil"/>
          <w:left w:val="nil"/>
          <w:bottom w:val="nil"/>
          <w:right w:val="nil"/>
          <w:between w:val="nil"/>
        </w:pBdr>
        <w:autoSpaceDE w:val="0"/>
        <w:autoSpaceDN w:val="0"/>
        <w:adjustRightInd w:val="0"/>
        <w:spacing w:after="0" w:line="240" w:lineRule="auto"/>
        <w:rPr>
          <w:rFonts w:ascii="Garamond" w:hAnsi="Garamond" w:cs="Arial"/>
        </w:rPr>
      </w:pPr>
      <w:r w:rsidRPr="004D1E76">
        <w:rPr>
          <w:rFonts w:ascii="Garamond" w:hAnsi="Garamond" w:cs="Arial"/>
        </w:rPr>
        <w:t xml:space="preserve">Deben atenderse las áreas priorizadas y definir la adecuación, y/o estrategia(s) de intervención requerida. </w:t>
      </w:r>
    </w:p>
    <w:p w14:paraId="4B9025D8" w14:textId="77777777" w:rsidR="007F49E6" w:rsidRPr="004D1E76" w:rsidRDefault="007F49E6" w:rsidP="007F49E6">
      <w:pPr>
        <w:numPr>
          <w:ilvl w:val="0"/>
          <w:numId w:val="60"/>
        </w:numPr>
        <w:pBdr>
          <w:top w:val="nil"/>
          <w:left w:val="nil"/>
          <w:bottom w:val="nil"/>
          <w:right w:val="nil"/>
          <w:between w:val="nil"/>
        </w:pBdr>
        <w:autoSpaceDE w:val="0"/>
        <w:autoSpaceDN w:val="0"/>
        <w:adjustRightInd w:val="0"/>
        <w:spacing w:after="0" w:line="240" w:lineRule="auto"/>
        <w:rPr>
          <w:rFonts w:ascii="Garamond" w:hAnsi="Garamond" w:cs="Arial"/>
        </w:rPr>
      </w:pPr>
      <w:r w:rsidRPr="004D1E76">
        <w:rPr>
          <w:rFonts w:ascii="Garamond" w:hAnsi="Garamond" w:cs="Arial"/>
        </w:rPr>
        <w:t xml:space="preserve">Se establecerá un plan de trabajo </w:t>
      </w:r>
    </w:p>
    <w:p w14:paraId="7408B8BD" w14:textId="77777777" w:rsidR="007F49E6" w:rsidRPr="004D1E76" w:rsidRDefault="007F49E6" w:rsidP="007F49E6">
      <w:pPr>
        <w:numPr>
          <w:ilvl w:val="0"/>
          <w:numId w:val="60"/>
        </w:numPr>
        <w:pBdr>
          <w:top w:val="nil"/>
          <w:left w:val="nil"/>
          <w:bottom w:val="nil"/>
          <w:right w:val="nil"/>
          <w:between w:val="nil"/>
        </w:pBdr>
        <w:autoSpaceDE w:val="0"/>
        <w:autoSpaceDN w:val="0"/>
        <w:adjustRightInd w:val="0"/>
        <w:spacing w:after="0" w:line="240" w:lineRule="auto"/>
        <w:rPr>
          <w:rFonts w:ascii="Garamond" w:hAnsi="Garamond" w:cs="Arial"/>
        </w:rPr>
      </w:pPr>
      <w:r>
        <w:rPr>
          <w:rFonts w:ascii="Garamond" w:hAnsi="Garamond" w:cs="Arial"/>
        </w:rPr>
        <w:t>A</w:t>
      </w:r>
      <w:r w:rsidRPr="004D1E76">
        <w:rPr>
          <w:rFonts w:ascii="Garamond" w:hAnsi="Garamond" w:cs="Arial"/>
        </w:rPr>
        <w:t xml:space="preserve">tender las Acciones de Movilidad, con objeto de prevenir siniestros derivados de deficiencias en el Espacio Público para la Movilidad </w:t>
      </w:r>
      <w:proofErr w:type="gramStart"/>
      <w:r w:rsidRPr="004D1E76">
        <w:rPr>
          <w:rFonts w:ascii="Garamond" w:hAnsi="Garamond" w:cs="Arial"/>
        </w:rPr>
        <w:t>-  EPM</w:t>
      </w:r>
      <w:proofErr w:type="gramEnd"/>
      <w:r w:rsidRPr="004D1E76">
        <w:rPr>
          <w:rFonts w:ascii="Garamond" w:hAnsi="Garamond" w:cs="Arial"/>
        </w:rPr>
        <w:t xml:space="preserve"> identificadas. </w:t>
      </w:r>
    </w:p>
    <w:p w14:paraId="0DA432BC" w14:textId="77777777" w:rsidR="007F49E6" w:rsidRPr="004D1E76" w:rsidRDefault="007F49E6" w:rsidP="007F49E6">
      <w:pPr>
        <w:numPr>
          <w:ilvl w:val="0"/>
          <w:numId w:val="60"/>
        </w:numPr>
        <w:pBdr>
          <w:top w:val="nil"/>
          <w:left w:val="nil"/>
          <w:bottom w:val="nil"/>
          <w:right w:val="nil"/>
          <w:between w:val="nil"/>
        </w:pBdr>
        <w:autoSpaceDE w:val="0"/>
        <w:autoSpaceDN w:val="0"/>
        <w:adjustRightInd w:val="0"/>
        <w:spacing w:after="0" w:line="240" w:lineRule="auto"/>
        <w:rPr>
          <w:rFonts w:ascii="Garamond" w:hAnsi="Garamond" w:cs="Arial"/>
        </w:rPr>
      </w:pPr>
      <w:r w:rsidRPr="004D1E76">
        <w:rPr>
          <w:rFonts w:ascii="Garamond" w:hAnsi="Garamond" w:cs="Arial"/>
        </w:rPr>
        <w:t xml:space="preserve">Definir las vías, que requieran </w:t>
      </w:r>
      <w:r>
        <w:rPr>
          <w:rFonts w:ascii="Garamond" w:hAnsi="Garamond" w:cs="Arial"/>
        </w:rPr>
        <w:t>c</w:t>
      </w:r>
      <w:r w:rsidRPr="004D1E76">
        <w:rPr>
          <w:rFonts w:ascii="Garamond" w:hAnsi="Garamond" w:cs="Arial"/>
        </w:rPr>
        <w:t xml:space="preserve">ambio de </w:t>
      </w:r>
      <w:r>
        <w:rPr>
          <w:rFonts w:ascii="Garamond" w:hAnsi="Garamond" w:cs="Arial"/>
        </w:rPr>
        <w:t>c</w:t>
      </w:r>
      <w:r w:rsidRPr="004D1E76">
        <w:rPr>
          <w:rFonts w:ascii="Garamond" w:hAnsi="Garamond" w:cs="Arial"/>
        </w:rPr>
        <w:t>arpeta.</w:t>
      </w:r>
    </w:p>
    <w:p w14:paraId="6F3B0460" w14:textId="77777777" w:rsidR="007F49E6" w:rsidRPr="004D1E76" w:rsidRDefault="007F49E6" w:rsidP="007F49E6">
      <w:pPr>
        <w:numPr>
          <w:ilvl w:val="0"/>
          <w:numId w:val="60"/>
        </w:numPr>
        <w:pBdr>
          <w:top w:val="nil"/>
          <w:left w:val="nil"/>
          <w:bottom w:val="nil"/>
          <w:right w:val="nil"/>
          <w:between w:val="nil"/>
        </w:pBdr>
        <w:autoSpaceDE w:val="0"/>
        <w:autoSpaceDN w:val="0"/>
        <w:adjustRightInd w:val="0"/>
        <w:spacing w:after="0" w:line="240" w:lineRule="auto"/>
        <w:rPr>
          <w:rFonts w:ascii="Garamond" w:hAnsi="Garamond" w:cs="Arial"/>
        </w:rPr>
      </w:pPr>
      <w:r w:rsidRPr="004D1E76">
        <w:rPr>
          <w:rFonts w:ascii="Garamond" w:hAnsi="Garamond" w:cs="Arial"/>
        </w:rPr>
        <w:t xml:space="preserve">Realizar el </w:t>
      </w:r>
      <w:r>
        <w:rPr>
          <w:rFonts w:ascii="Garamond" w:hAnsi="Garamond" w:cs="Arial"/>
        </w:rPr>
        <w:t>m</w:t>
      </w:r>
      <w:r w:rsidRPr="004D1E76">
        <w:rPr>
          <w:rFonts w:ascii="Garamond" w:hAnsi="Garamond" w:cs="Arial"/>
        </w:rPr>
        <w:t xml:space="preserve">antenimiento </w:t>
      </w:r>
      <w:r>
        <w:rPr>
          <w:rFonts w:ascii="Garamond" w:hAnsi="Garamond" w:cs="Arial"/>
        </w:rPr>
        <w:t xml:space="preserve">rutinario, periódico y rehabilitación de acuerdo al diagnóstico de la UAERMV. </w:t>
      </w:r>
      <w:r w:rsidRPr="004D1E76">
        <w:rPr>
          <w:rFonts w:ascii="Garamond" w:hAnsi="Garamond" w:cs="Arial"/>
        </w:rPr>
        <w:t xml:space="preserve"> </w:t>
      </w:r>
    </w:p>
    <w:p w14:paraId="4623CBEA" w14:textId="77777777" w:rsidR="007F49E6" w:rsidRPr="004D1E76" w:rsidRDefault="007F49E6" w:rsidP="007F49E6">
      <w:pPr>
        <w:numPr>
          <w:ilvl w:val="0"/>
          <w:numId w:val="60"/>
        </w:numPr>
        <w:pBdr>
          <w:top w:val="nil"/>
          <w:left w:val="nil"/>
          <w:bottom w:val="nil"/>
          <w:right w:val="nil"/>
          <w:between w:val="nil"/>
        </w:pBdr>
        <w:autoSpaceDE w:val="0"/>
        <w:autoSpaceDN w:val="0"/>
        <w:adjustRightInd w:val="0"/>
        <w:spacing w:after="0" w:line="240" w:lineRule="auto"/>
        <w:rPr>
          <w:rFonts w:ascii="Garamond" w:hAnsi="Garamond" w:cs="Arial"/>
        </w:rPr>
      </w:pPr>
      <w:r w:rsidRPr="004D1E76">
        <w:rPr>
          <w:rFonts w:ascii="Garamond" w:hAnsi="Garamond" w:cs="Arial"/>
        </w:rPr>
        <w:t xml:space="preserve">Realizar monitoreo </w:t>
      </w:r>
      <w:r>
        <w:rPr>
          <w:rFonts w:ascii="Garamond" w:hAnsi="Garamond" w:cs="Arial"/>
        </w:rPr>
        <w:t xml:space="preserve">de las áreas intervenidas en el marco del convenio de acuerdo con establecido en el presente Anexo Técnico. </w:t>
      </w:r>
    </w:p>
    <w:p w14:paraId="66529F5B" w14:textId="77777777" w:rsidR="007F49E6" w:rsidRPr="008F0D22" w:rsidRDefault="007F49E6" w:rsidP="007F49E6">
      <w:pPr>
        <w:pBdr>
          <w:top w:val="nil"/>
          <w:left w:val="nil"/>
          <w:bottom w:val="nil"/>
          <w:right w:val="nil"/>
          <w:between w:val="nil"/>
        </w:pBdr>
        <w:rPr>
          <w:rFonts w:ascii="Garamond" w:hAnsi="Garamond" w:cs="Arial"/>
        </w:rPr>
      </w:pPr>
      <w:r>
        <w:rPr>
          <w:rFonts w:ascii="Garamond" w:hAnsi="Garamond" w:cs="Arial"/>
        </w:rPr>
        <w:t xml:space="preserve">Las actividades descritas anteriormente pueden ser </w:t>
      </w:r>
      <w:r w:rsidRPr="008F0D22">
        <w:rPr>
          <w:rFonts w:ascii="Garamond" w:hAnsi="Garamond" w:cs="Arial"/>
        </w:rPr>
        <w:t xml:space="preserve">revaluadas o reorganizadas </w:t>
      </w:r>
      <w:r>
        <w:rPr>
          <w:rFonts w:ascii="Garamond" w:hAnsi="Garamond" w:cs="Arial"/>
        </w:rPr>
        <w:t>por el comité técnico operativo, de acuerdo con las necesidades objeto del convenio.</w:t>
      </w:r>
    </w:p>
    <w:p w14:paraId="54DDB990" w14:textId="77777777" w:rsidR="00E90D2A" w:rsidRPr="00006835" w:rsidRDefault="00E90D2A" w:rsidP="00E90D2A">
      <w:pPr>
        <w:pBdr>
          <w:top w:val="nil"/>
          <w:left w:val="nil"/>
          <w:bottom w:val="nil"/>
          <w:right w:val="nil"/>
          <w:between w:val="nil"/>
        </w:pBdr>
        <w:ind w:right="30"/>
        <w:rPr>
          <w:rFonts w:ascii="Garamond" w:eastAsia="Calibri" w:hAnsi="Garamond" w:cstheme="majorHAnsi"/>
          <w:b/>
          <w:color w:val="000000"/>
        </w:rPr>
      </w:pPr>
      <w:r w:rsidRPr="00006835">
        <w:rPr>
          <w:rFonts w:ascii="Garamond" w:hAnsi="Garamond" w:cs="Arial"/>
          <w:b/>
          <w:bCs/>
        </w:rPr>
        <w:t xml:space="preserve">10.1.3 </w:t>
      </w:r>
      <w:r w:rsidRPr="00006835">
        <w:rPr>
          <w:rFonts w:ascii="Garamond" w:eastAsia="Calibri" w:hAnsi="Garamond" w:cstheme="majorHAnsi"/>
          <w:b/>
          <w:color w:val="000000"/>
        </w:rPr>
        <w:t>Filtros y Reservas</w:t>
      </w:r>
    </w:p>
    <w:p w14:paraId="5924A027" w14:textId="77777777" w:rsidR="00E90D2A" w:rsidRPr="00006835" w:rsidRDefault="00E90D2A" w:rsidP="00E90D2A">
      <w:pPr>
        <w:spacing w:after="200"/>
        <w:rPr>
          <w:rFonts w:ascii="Garamond" w:eastAsia="Calibri" w:hAnsi="Garamond" w:cstheme="majorHAnsi"/>
        </w:rPr>
      </w:pPr>
      <w:r w:rsidRPr="00006835">
        <w:rPr>
          <w:rFonts w:ascii="Garamond" w:eastAsia="Calibri" w:hAnsi="Garamond" w:cstheme="majorHAnsi"/>
          <w:bCs/>
        </w:rPr>
        <w:t>La UAERMV,</w:t>
      </w:r>
      <w:r>
        <w:rPr>
          <w:rFonts w:ascii="Garamond" w:eastAsia="Calibri" w:hAnsi="Garamond" w:cstheme="majorHAnsi"/>
          <w:b/>
        </w:rPr>
        <w:t xml:space="preserve"> </w:t>
      </w:r>
      <w:r w:rsidRPr="00800674">
        <w:rPr>
          <w:rFonts w:ascii="Garamond" w:eastAsia="Calibri" w:hAnsi="Garamond" w:cstheme="majorHAnsi"/>
          <w:bCs/>
        </w:rPr>
        <w:t xml:space="preserve">con la priorización </w:t>
      </w:r>
      <w:r w:rsidRPr="00006835">
        <w:rPr>
          <w:rFonts w:ascii="Garamond" w:eastAsia="Calibri" w:hAnsi="Garamond" w:cstheme="majorHAnsi"/>
        </w:rPr>
        <w:t xml:space="preserve">de los elementos del Espacio Público para la Movilidad </w:t>
      </w:r>
      <w:proofErr w:type="gramStart"/>
      <w:r w:rsidRPr="00006835">
        <w:rPr>
          <w:rFonts w:ascii="Garamond" w:eastAsia="Calibri" w:hAnsi="Garamond" w:cstheme="majorHAnsi"/>
        </w:rPr>
        <w:t>-  EPM</w:t>
      </w:r>
      <w:proofErr w:type="gramEnd"/>
      <w:r w:rsidRPr="00006835">
        <w:rPr>
          <w:rFonts w:ascii="Garamond" w:eastAsia="Calibri" w:hAnsi="Garamond" w:cstheme="majorHAnsi"/>
        </w:rPr>
        <w:t xml:space="preserve"> a intervenir, deberá realizar la solicitud de reserva de los mismos ante la Dirección Técnica Estratégica -DTE- del IDU quien hará el cruce de información a nivel de base de datos (filtros) para establecer la </w:t>
      </w:r>
      <w:proofErr w:type="spellStart"/>
      <w:r w:rsidRPr="00006835">
        <w:rPr>
          <w:rFonts w:ascii="Garamond" w:eastAsia="Calibri" w:hAnsi="Garamond" w:cstheme="majorHAnsi"/>
        </w:rPr>
        <w:t>pre-viabilidad</w:t>
      </w:r>
      <w:proofErr w:type="spellEnd"/>
      <w:r w:rsidRPr="00006835">
        <w:rPr>
          <w:rFonts w:ascii="Garamond" w:eastAsia="Calibri" w:hAnsi="Garamond" w:cstheme="majorHAnsi"/>
        </w:rPr>
        <w:t xml:space="preserve"> de intervención y reserva inicial de los elementos preseleccionados.</w:t>
      </w:r>
    </w:p>
    <w:p w14:paraId="6D20E603" w14:textId="77777777" w:rsidR="00E90D2A" w:rsidRPr="00631477" w:rsidRDefault="00E90D2A" w:rsidP="00E90D2A">
      <w:pPr>
        <w:pBdr>
          <w:top w:val="nil"/>
          <w:left w:val="nil"/>
          <w:bottom w:val="nil"/>
          <w:right w:val="nil"/>
          <w:between w:val="nil"/>
        </w:pBdr>
        <w:autoSpaceDE w:val="0"/>
        <w:autoSpaceDN w:val="0"/>
        <w:adjustRightInd w:val="0"/>
        <w:spacing w:after="0" w:line="264" w:lineRule="auto"/>
        <w:rPr>
          <w:rFonts w:ascii="Garamond" w:eastAsia="Calibri" w:hAnsi="Garamond" w:cstheme="majorHAnsi"/>
          <w:b/>
          <w:bCs/>
          <w:color w:val="000000"/>
        </w:rPr>
      </w:pPr>
      <w:r w:rsidRPr="00631477">
        <w:rPr>
          <w:rFonts w:ascii="Garamond" w:eastAsia="Calibri" w:hAnsi="Garamond" w:cstheme="majorHAnsi"/>
          <w:b/>
          <w:bCs/>
          <w:color w:val="000000"/>
        </w:rPr>
        <w:t xml:space="preserve">10.1.4 Especificaciones </w:t>
      </w:r>
      <w:r w:rsidRPr="00631477">
        <w:rPr>
          <w:rFonts w:ascii="Garamond" w:eastAsia="Calibri" w:hAnsi="Garamond" w:cstheme="majorHAnsi"/>
          <w:b/>
          <w:bCs/>
        </w:rPr>
        <w:t>Técnicas</w:t>
      </w:r>
      <w:r w:rsidRPr="00631477">
        <w:rPr>
          <w:rFonts w:ascii="Garamond" w:eastAsia="Calibri" w:hAnsi="Garamond" w:cstheme="majorHAnsi"/>
          <w:b/>
          <w:bCs/>
          <w:color w:val="000000"/>
        </w:rPr>
        <w:t xml:space="preserve"> </w:t>
      </w:r>
      <w:r>
        <w:rPr>
          <w:rFonts w:ascii="Garamond" w:eastAsia="Calibri" w:hAnsi="Garamond" w:cstheme="majorHAnsi"/>
          <w:b/>
          <w:bCs/>
          <w:color w:val="000000"/>
        </w:rPr>
        <w:t>y</w:t>
      </w:r>
      <w:r w:rsidRPr="00631477">
        <w:rPr>
          <w:rFonts w:ascii="Garamond" w:eastAsia="Calibri" w:hAnsi="Garamond" w:cstheme="majorHAnsi"/>
          <w:b/>
          <w:bCs/>
          <w:color w:val="000000"/>
        </w:rPr>
        <w:t xml:space="preserve"> Manuales</w:t>
      </w:r>
    </w:p>
    <w:p w14:paraId="2224E5DF" w14:textId="77777777" w:rsidR="00E90D2A" w:rsidRDefault="00E90D2A" w:rsidP="00E90D2A">
      <w:pPr>
        <w:pBdr>
          <w:top w:val="nil"/>
          <w:left w:val="nil"/>
          <w:bottom w:val="nil"/>
          <w:right w:val="nil"/>
          <w:between w:val="nil"/>
        </w:pBdr>
        <w:autoSpaceDE w:val="0"/>
        <w:autoSpaceDN w:val="0"/>
        <w:adjustRightInd w:val="0"/>
        <w:spacing w:after="0" w:line="264" w:lineRule="auto"/>
        <w:rPr>
          <w:rFonts w:ascii="Garamond" w:eastAsia="Calibri" w:hAnsi="Garamond" w:cstheme="majorHAnsi"/>
          <w:b/>
          <w:color w:val="000000"/>
        </w:rPr>
      </w:pPr>
    </w:p>
    <w:p w14:paraId="7C935B53" w14:textId="77777777" w:rsidR="00E90D2A" w:rsidRPr="00631477" w:rsidRDefault="00E90D2A" w:rsidP="00E90D2A">
      <w:pPr>
        <w:pBdr>
          <w:top w:val="nil"/>
          <w:left w:val="nil"/>
          <w:bottom w:val="nil"/>
          <w:right w:val="nil"/>
          <w:between w:val="nil"/>
        </w:pBdr>
        <w:autoSpaceDE w:val="0"/>
        <w:autoSpaceDN w:val="0"/>
        <w:adjustRightInd w:val="0"/>
        <w:spacing w:after="0" w:line="264" w:lineRule="auto"/>
        <w:rPr>
          <w:rFonts w:ascii="Garamond" w:eastAsia="Calibri" w:hAnsi="Garamond" w:cstheme="majorHAnsi"/>
          <w:bCs/>
          <w:color w:val="000000"/>
        </w:rPr>
      </w:pPr>
      <w:r w:rsidRPr="00CE07A9">
        <w:rPr>
          <w:rFonts w:ascii="Garamond" w:eastAsia="Calibri" w:hAnsi="Garamond" w:cstheme="majorHAnsi"/>
          <w:bCs/>
          <w:color w:val="000000"/>
        </w:rPr>
        <w:t xml:space="preserve">Dado el rol de entidad ejecutora de la UAERMV, la ejecución de las etapas del convenio, estarán sujetas a los siguientes procedimientos de planificación </w:t>
      </w:r>
      <w:r w:rsidRPr="00CE07A9">
        <w:rPr>
          <w:rFonts w:ascii="Garamond" w:eastAsia="Calibri" w:hAnsi="Garamond" w:cstheme="majorHAnsi"/>
          <w:bCs/>
        </w:rPr>
        <w:t xml:space="preserve">de conservación de la infraestructura; </w:t>
      </w:r>
      <w:r w:rsidRPr="00CE07A9">
        <w:rPr>
          <w:rFonts w:ascii="Garamond" w:eastAsia="Calibri" w:hAnsi="Garamond" w:cstheme="majorHAnsi"/>
          <w:bCs/>
          <w:color w:val="000000"/>
        </w:rPr>
        <w:t>para la Intervención de la Infraestructura y Herramientas de Gestión y medición del proceso de la UAERMV, según aplique.</w:t>
      </w:r>
    </w:p>
    <w:p w14:paraId="3C236BA6" w14:textId="77777777" w:rsidR="00E90D2A" w:rsidRPr="00631477" w:rsidRDefault="00E90D2A" w:rsidP="00E90D2A">
      <w:pPr>
        <w:pBdr>
          <w:top w:val="nil"/>
          <w:left w:val="nil"/>
          <w:bottom w:val="nil"/>
          <w:right w:val="nil"/>
          <w:between w:val="nil"/>
        </w:pBdr>
        <w:autoSpaceDE w:val="0"/>
        <w:autoSpaceDN w:val="0"/>
        <w:adjustRightInd w:val="0"/>
        <w:spacing w:after="0" w:line="264" w:lineRule="auto"/>
        <w:rPr>
          <w:rFonts w:ascii="Garamond" w:eastAsia="Calibri" w:hAnsi="Garamond" w:cstheme="majorHAnsi"/>
          <w:bCs/>
          <w:color w:val="000000"/>
        </w:rPr>
      </w:pPr>
    </w:p>
    <w:p w14:paraId="35E599BE" w14:textId="77777777" w:rsidR="00E90D2A" w:rsidRPr="00631477" w:rsidRDefault="00E90D2A" w:rsidP="00E90D2A">
      <w:pPr>
        <w:pStyle w:val="Prrafodelista"/>
        <w:numPr>
          <w:ilvl w:val="0"/>
          <w:numId w:val="61"/>
        </w:numPr>
        <w:pBdr>
          <w:top w:val="nil"/>
          <w:left w:val="nil"/>
          <w:bottom w:val="nil"/>
          <w:right w:val="nil"/>
          <w:between w:val="nil"/>
        </w:pBdr>
        <w:autoSpaceDE w:val="0"/>
        <w:autoSpaceDN w:val="0"/>
        <w:adjustRightInd w:val="0"/>
        <w:spacing w:after="0" w:line="264" w:lineRule="auto"/>
        <w:jc w:val="left"/>
        <w:rPr>
          <w:rFonts w:ascii="Garamond" w:eastAsia="Calibri" w:hAnsi="Garamond" w:cstheme="majorHAnsi"/>
          <w:b/>
        </w:rPr>
      </w:pPr>
      <w:r w:rsidRPr="00631477">
        <w:rPr>
          <w:rFonts w:ascii="Garamond" w:eastAsia="Calibri" w:hAnsi="Garamond" w:cstheme="majorHAnsi"/>
          <w:b/>
        </w:rPr>
        <w:t>Procedimientos para la Planificación de conservación de la infraestructura.</w:t>
      </w:r>
    </w:p>
    <w:tbl>
      <w:tblPr>
        <w:tblW w:w="8948" w:type="dxa"/>
        <w:tblInd w:w="1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80"/>
        <w:gridCol w:w="6768"/>
      </w:tblGrid>
      <w:tr w:rsidR="00E90D2A" w:rsidRPr="00631477" w14:paraId="532FA2F2" w14:textId="77777777" w:rsidTr="00A94AA6">
        <w:trPr>
          <w:trHeight w:val="409"/>
          <w:tblHeader/>
        </w:trPr>
        <w:tc>
          <w:tcPr>
            <w:tcW w:w="2180" w:type="dxa"/>
            <w:shd w:val="clear" w:color="auto" w:fill="FFFFFF"/>
            <w:vAlign w:val="center"/>
          </w:tcPr>
          <w:p w14:paraId="4447F114" w14:textId="77777777" w:rsidR="00E90D2A" w:rsidRPr="00631477" w:rsidRDefault="00E90D2A" w:rsidP="00A94AA6">
            <w:pPr>
              <w:jc w:val="center"/>
              <w:rPr>
                <w:rFonts w:ascii="Garamond" w:eastAsia="Calibri" w:hAnsi="Garamond" w:cstheme="majorHAnsi"/>
                <w:b/>
                <w:color w:val="333333"/>
              </w:rPr>
            </w:pPr>
            <w:r w:rsidRPr="00631477">
              <w:rPr>
                <w:rFonts w:ascii="Garamond" w:eastAsia="Calibri" w:hAnsi="Garamond" w:cstheme="majorHAnsi"/>
                <w:b/>
                <w:color w:val="333333"/>
              </w:rPr>
              <w:t>Tipo de Documento</w:t>
            </w:r>
          </w:p>
        </w:tc>
        <w:tc>
          <w:tcPr>
            <w:tcW w:w="6768" w:type="dxa"/>
            <w:shd w:val="clear" w:color="auto" w:fill="FFFFFF"/>
            <w:vAlign w:val="center"/>
          </w:tcPr>
          <w:p w14:paraId="16F86B0E" w14:textId="77777777" w:rsidR="00E90D2A" w:rsidRPr="00631477" w:rsidRDefault="00E90D2A" w:rsidP="00A94AA6">
            <w:pPr>
              <w:jc w:val="center"/>
              <w:rPr>
                <w:rFonts w:ascii="Garamond" w:eastAsia="Calibri" w:hAnsi="Garamond" w:cstheme="majorHAnsi"/>
                <w:b/>
                <w:color w:val="333333"/>
              </w:rPr>
            </w:pPr>
            <w:r w:rsidRPr="00631477">
              <w:rPr>
                <w:rFonts w:ascii="Garamond" w:eastAsia="Calibri" w:hAnsi="Garamond" w:cstheme="majorHAnsi"/>
                <w:b/>
                <w:color w:val="333333"/>
              </w:rPr>
              <w:t>Documento</w:t>
            </w:r>
          </w:p>
        </w:tc>
      </w:tr>
      <w:tr w:rsidR="00E90D2A" w:rsidRPr="00631477" w14:paraId="608C0E18" w14:textId="77777777" w:rsidTr="00A94AA6">
        <w:trPr>
          <w:trHeight w:val="559"/>
        </w:trPr>
        <w:tc>
          <w:tcPr>
            <w:tcW w:w="2180" w:type="dxa"/>
            <w:shd w:val="clear" w:color="auto" w:fill="FFFFFF"/>
            <w:vAlign w:val="center"/>
          </w:tcPr>
          <w:p w14:paraId="658AF3DB" w14:textId="77777777" w:rsidR="00E90D2A" w:rsidRPr="00631477" w:rsidRDefault="00E90D2A" w:rsidP="00A94AA6">
            <w:pPr>
              <w:jc w:val="center"/>
              <w:rPr>
                <w:rFonts w:ascii="Garamond" w:eastAsia="Calibri" w:hAnsi="Garamond" w:cstheme="majorHAnsi"/>
                <w:color w:val="333333"/>
              </w:rPr>
            </w:pPr>
            <w:r w:rsidRPr="00631477">
              <w:rPr>
                <w:rFonts w:ascii="Garamond" w:eastAsia="Calibri" w:hAnsi="Garamond" w:cstheme="majorHAnsi"/>
                <w:color w:val="333333"/>
              </w:rPr>
              <w:t>Caracterización de Proceso</w:t>
            </w:r>
          </w:p>
        </w:tc>
        <w:tc>
          <w:tcPr>
            <w:tcW w:w="6768" w:type="dxa"/>
            <w:vAlign w:val="center"/>
          </w:tcPr>
          <w:p w14:paraId="1EB9FF83" w14:textId="77777777" w:rsidR="00E90D2A" w:rsidRPr="00631477" w:rsidRDefault="00E90D2A" w:rsidP="00A94AA6">
            <w:pPr>
              <w:jc w:val="center"/>
              <w:rPr>
                <w:rFonts w:ascii="Garamond" w:eastAsia="Calibri" w:hAnsi="Garamond" w:cstheme="majorHAnsi"/>
                <w:color w:val="000000"/>
              </w:rPr>
            </w:pPr>
            <w:r w:rsidRPr="00631477">
              <w:rPr>
                <w:rFonts w:ascii="Garamond" w:eastAsia="Calibri" w:hAnsi="Garamond" w:cstheme="majorHAnsi"/>
                <w:color w:val="000000"/>
              </w:rPr>
              <w:t>PCI-CP-001 V1 Caracterización proceso de planificación de la conservación de la infraestructura</w:t>
            </w:r>
          </w:p>
        </w:tc>
      </w:tr>
      <w:tr w:rsidR="00E90D2A" w:rsidRPr="00631477" w14:paraId="1E5D779F" w14:textId="77777777" w:rsidTr="00A94AA6">
        <w:trPr>
          <w:trHeight w:val="539"/>
        </w:trPr>
        <w:tc>
          <w:tcPr>
            <w:tcW w:w="2180" w:type="dxa"/>
            <w:shd w:val="clear" w:color="auto" w:fill="FFFFFF"/>
            <w:vAlign w:val="center"/>
          </w:tcPr>
          <w:p w14:paraId="78058FD3" w14:textId="77777777" w:rsidR="00E90D2A" w:rsidRPr="00631477" w:rsidRDefault="00E90D2A" w:rsidP="00A94AA6">
            <w:pPr>
              <w:jc w:val="center"/>
              <w:rPr>
                <w:rFonts w:ascii="Garamond" w:eastAsia="Calibri" w:hAnsi="Garamond" w:cstheme="majorHAnsi"/>
                <w:color w:val="333333"/>
              </w:rPr>
            </w:pPr>
            <w:r w:rsidRPr="00631477">
              <w:rPr>
                <w:rFonts w:ascii="Garamond" w:eastAsia="Calibri" w:hAnsi="Garamond" w:cstheme="majorHAnsi"/>
                <w:color w:val="333333"/>
              </w:rPr>
              <w:lastRenderedPageBreak/>
              <w:t>Instructivo</w:t>
            </w:r>
          </w:p>
        </w:tc>
        <w:tc>
          <w:tcPr>
            <w:tcW w:w="6768" w:type="dxa"/>
            <w:vAlign w:val="center"/>
          </w:tcPr>
          <w:p w14:paraId="086B7B15" w14:textId="77777777" w:rsidR="00E90D2A" w:rsidRPr="00631477" w:rsidRDefault="00E90D2A" w:rsidP="00A94AA6">
            <w:pPr>
              <w:jc w:val="center"/>
              <w:rPr>
                <w:rFonts w:ascii="Garamond" w:eastAsia="Calibri" w:hAnsi="Garamond" w:cstheme="majorHAnsi"/>
                <w:color w:val="000000"/>
              </w:rPr>
            </w:pPr>
            <w:r w:rsidRPr="00631477">
              <w:rPr>
                <w:rFonts w:ascii="Garamond" w:eastAsia="Calibri" w:hAnsi="Garamond" w:cstheme="majorHAnsi"/>
                <w:color w:val="000000"/>
              </w:rPr>
              <w:t>PCI-IN-001_V1 Instructivo de toma de fotografías del diagnóstico vial</w:t>
            </w:r>
          </w:p>
        </w:tc>
      </w:tr>
      <w:tr w:rsidR="00E90D2A" w:rsidRPr="00631477" w14:paraId="1D020F86" w14:textId="77777777" w:rsidTr="00A94AA6">
        <w:trPr>
          <w:cantSplit/>
          <w:trHeight w:val="409"/>
        </w:trPr>
        <w:tc>
          <w:tcPr>
            <w:tcW w:w="2180" w:type="dxa"/>
            <w:shd w:val="clear" w:color="auto" w:fill="FFFFFF"/>
            <w:vAlign w:val="center"/>
          </w:tcPr>
          <w:p w14:paraId="02C2E1F0" w14:textId="77777777" w:rsidR="00E90D2A" w:rsidRPr="00631477" w:rsidRDefault="00E90D2A" w:rsidP="00A94AA6">
            <w:pPr>
              <w:jc w:val="center"/>
              <w:rPr>
                <w:rFonts w:ascii="Garamond" w:eastAsia="Calibri" w:hAnsi="Garamond" w:cstheme="majorHAnsi"/>
                <w:color w:val="333333"/>
              </w:rPr>
            </w:pPr>
            <w:r w:rsidRPr="00631477">
              <w:rPr>
                <w:rFonts w:ascii="Garamond" w:eastAsia="Calibri" w:hAnsi="Garamond" w:cstheme="majorHAnsi"/>
                <w:color w:val="333333"/>
              </w:rPr>
              <w:t>Procedimiento</w:t>
            </w:r>
          </w:p>
        </w:tc>
        <w:tc>
          <w:tcPr>
            <w:tcW w:w="6768" w:type="dxa"/>
            <w:vAlign w:val="center"/>
          </w:tcPr>
          <w:p w14:paraId="09625921" w14:textId="77777777" w:rsidR="00E90D2A" w:rsidRPr="00631477" w:rsidRDefault="00E90D2A" w:rsidP="00A94AA6">
            <w:pPr>
              <w:jc w:val="center"/>
              <w:rPr>
                <w:rFonts w:ascii="Garamond" w:eastAsia="Calibri" w:hAnsi="Garamond" w:cstheme="majorHAnsi"/>
                <w:color w:val="000000"/>
              </w:rPr>
            </w:pPr>
            <w:r w:rsidRPr="00631477">
              <w:rPr>
                <w:rFonts w:ascii="Garamond" w:eastAsia="Calibri" w:hAnsi="Garamond" w:cstheme="majorHAnsi"/>
                <w:color w:val="000000"/>
              </w:rPr>
              <w:t>PCI-PR-001 V1 Procedimiento evaluación de vías</w:t>
            </w:r>
          </w:p>
        </w:tc>
      </w:tr>
      <w:tr w:rsidR="00E90D2A" w:rsidRPr="00631477" w14:paraId="4665AC1F" w14:textId="77777777" w:rsidTr="00A94AA6">
        <w:trPr>
          <w:trHeight w:val="577"/>
        </w:trPr>
        <w:tc>
          <w:tcPr>
            <w:tcW w:w="2180" w:type="dxa"/>
            <w:shd w:val="clear" w:color="auto" w:fill="FFFFFF"/>
            <w:vAlign w:val="center"/>
          </w:tcPr>
          <w:p w14:paraId="731A4B8D" w14:textId="77777777" w:rsidR="00E90D2A" w:rsidRPr="00631477" w:rsidRDefault="00E90D2A" w:rsidP="00A94AA6">
            <w:pPr>
              <w:jc w:val="center"/>
              <w:rPr>
                <w:rFonts w:ascii="Garamond" w:eastAsia="Calibri" w:hAnsi="Garamond" w:cstheme="majorHAnsi"/>
                <w:color w:val="333333"/>
              </w:rPr>
            </w:pPr>
            <w:r w:rsidRPr="00631477">
              <w:rPr>
                <w:rFonts w:ascii="Garamond" w:eastAsia="Calibri" w:hAnsi="Garamond" w:cstheme="majorHAnsi"/>
                <w:color w:val="333333"/>
              </w:rPr>
              <w:t>Procedimiento</w:t>
            </w:r>
          </w:p>
        </w:tc>
        <w:tc>
          <w:tcPr>
            <w:tcW w:w="6768" w:type="dxa"/>
            <w:vAlign w:val="center"/>
          </w:tcPr>
          <w:p w14:paraId="52D166E8" w14:textId="77777777" w:rsidR="00E90D2A" w:rsidRPr="00631477" w:rsidRDefault="00E90D2A" w:rsidP="00A94AA6">
            <w:pPr>
              <w:jc w:val="center"/>
              <w:rPr>
                <w:rFonts w:ascii="Garamond" w:eastAsia="Calibri" w:hAnsi="Garamond" w:cstheme="majorHAnsi"/>
                <w:color w:val="000000"/>
              </w:rPr>
            </w:pPr>
            <w:r w:rsidRPr="00631477">
              <w:rPr>
                <w:rFonts w:ascii="Garamond" w:eastAsia="Calibri" w:hAnsi="Garamond" w:cstheme="majorHAnsi"/>
                <w:color w:val="000000"/>
              </w:rPr>
              <w:t>PCI-PR-002 V1 Procedimiento asistencia técnica a localidades</w:t>
            </w:r>
          </w:p>
        </w:tc>
      </w:tr>
      <w:tr w:rsidR="00E90D2A" w:rsidRPr="00631477" w14:paraId="762ED034" w14:textId="77777777" w:rsidTr="00A94AA6">
        <w:trPr>
          <w:trHeight w:val="561"/>
        </w:trPr>
        <w:tc>
          <w:tcPr>
            <w:tcW w:w="2180" w:type="dxa"/>
            <w:shd w:val="clear" w:color="auto" w:fill="FFFFFF"/>
            <w:vAlign w:val="center"/>
          </w:tcPr>
          <w:p w14:paraId="4588F2EF" w14:textId="77777777" w:rsidR="00E90D2A" w:rsidRPr="00631477" w:rsidRDefault="00E90D2A" w:rsidP="00A94AA6">
            <w:pPr>
              <w:jc w:val="center"/>
              <w:rPr>
                <w:rFonts w:ascii="Garamond" w:eastAsia="Calibri" w:hAnsi="Garamond" w:cstheme="majorHAnsi"/>
                <w:color w:val="333333"/>
              </w:rPr>
            </w:pPr>
            <w:r w:rsidRPr="00631477">
              <w:rPr>
                <w:rFonts w:ascii="Garamond" w:eastAsia="Calibri" w:hAnsi="Garamond" w:cstheme="majorHAnsi"/>
                <w:color w:val="333333"/>
              </w:rPr>
              <w:t>Procedimiento</w:t>
            </w:r>
          </w:p>
        </w:tc>
        <w:tc>
          <w:tcPr>
            <w:tcW w:w="6768" w:type="dxa"/>
            <w:vAlign w:val="center"/>
          </w:tcPr>
          <w:p w14:paraId="31DC9437" w14:textId="77777777" w:rsidR="00E90D2A" w:rsidRPr="00631477" w:rsidRDefault="00E90D2A" w:rsidP="00A94AA6">
            <w:pPr>
              <w:jc w:val="center"/>
              <w:rPr>
                <w:rFonts w:ascii="Garamond" w:eastAsia="Calibri" w:hAnsi="Garamond" w:cstheme="majorHAnsi"/>
                <w:color w:val="000000"/>
              </w:rPr>
            </w:pPr>
            <w:r w:rsidRPr="00631477">
              <w:rPr>
                <w:rFonts w:ascii="Garamond" w:eastAsia="Calibri" w:hAnsi="Garamond" w:cstheme="majorHAnsi"/>
                <w:color w:val="000000"/>
              </w:rPr>
              <w:t>PCI-PR-004 V1 Procedimiento de seguimiento a las intervenciones ejecutadas</w:t>
            </w:r>
          </w:p>
        </w:tc>
      </w:tr>
      <w:tr w:rsidR="00E90D2A" w:rsidRPr="00631477" w14:paraId="47B7E738" w14:textId="77777777" w:rsidTr="00A94AA6">
        <w:trPr>
          <w:trHeight w:val="577"/>
        </w:trPr>
        <w:tc>
          <w:tcPr>
            <w:tcW w:w="2180" w:type="dxa"/>
            <w:shd w:val="clear" w:color="auto" w:fill="FFFFFF"/>
            <w:vAlign w:val="center"/>
          </w:tcPr>
          <w:p w14:paraId="7CF64D01" w14:textId="77777777" w:rsidR="00E90D2A" w:rsidRPr="00631477" w:rsidRDefault="00E90D2A" w:rsidP="00A94AA6">
            <w:pPr>
              <w:jc w:val="center"/>
              <w:rPr>
                <w:rFonts w:ascii="Garamond" w:eastAsia="Calibri" w:hAnsi="Garamond" w:cstheme="majorHAnsi"/>
                <w:color w:val="333333"/>
              </w:rPr>
            </w:pPr>
            <w:r w:rsidRPr="00631477">
              <w:rPr>
                <w:rFonts w:ascii="Garamond" w:eastAsia="Calibri" w:hAnsi="Garamond" w:cstheme="majorHAnsi"/>
                <w:color w:val="333333"/>
              </w:rPr>
              <w:t>Procedimiento</w:t>
            </w:r>
          </w:p>
        </w:tc>
        <w:tc>
          <w:tcPr>
            <w:tcW w:w="6768" w:type="dxa"/>
            <w:vAlign w:val="center"/>
          </w:tcPr>
          <w:p w14:paraId="0FF511C8" w14:textId="77777777" w:rsidR="00E90D2A" w:rsidRPr="00631477" w:rsidRDefault="00E90D2A" w:rsidP="00A94AA6">
            <w:pPr>
              <w:jc w:val="center"/>
              <w:rPr>
                <w:rFonts w:ascii="Garamond" w:eastAsia="Calibri" w:hAnsi="Garamond" w:cstheme="majorHAnsi"/>
                <w:color w:val="000000"/>
              </w:rPr>
            </w:pPr>
            <w:r w:rsidRPr="00631477">
              <w:rPr>
                <w:rFonts w:ascii="Garamond" w:eastAsia="Calibri" w:hAnsi="Garamond" w:cstheme="majorHAnsi"/>
                <w:color w:val="000000"/>
              </w:rPr>
              <w:t>PCI-PR-005 V1 Procedimiento de priorización de espacio público</w:t>
            </w:r>
          </w:p>
        </w:tc>
      </w:tr>
    </w:tbl>
    <w:p w14:paraId="752E26B5" w14:textId="77777777" w:rsidR="00E90D2A" w:rsidRPr="00631477" w:rsidRDefault="00E90D2A" w:rsidP="00E90D2A">
      <w:pPr>
        <w:pBdr>
          <w:top w:val="nil"/>
          <w:left w:val="nil"/>
          <w:bottom w:val="nil"/>
          <w:right w:val="nil"/>
          <w:between w:val="nil"/>
        </w:pBdr>
        <w:autoSpaceDE w:val="0"/>
        <w:autoSpaceDN w:val="0"/>
        <w:adjustRightInd w:val="0"/>
        <w:spacing w:after="0" w:line="264" w:lineRule="auto"/>
        <w:rPr>
          <w:rFonts w:ascii="Garamond" w:eastAsia="Calibri" w:hAnsi="Garamond" w:cstheme="majorHAnsi"/>
          <w:color w:val="000000"/>
        </w:rPr>
      </w:pPr>
    </w:p>
    <w:p w14:paraId="068FE605" w14:textId="77777777" w:rsidR="00E90D2A" w:rsidRPr="00631477" w:rsidRDefault="00E90D2A" w:rsidP="00E90D2A">
      <w:pPr>
        <w:pStyle w:val="Prrafodelista"/>
        <w:numPr>
          <w:ilvl w:val="0"/>
          <w:numId w:val="61"/>
        </w:numPr>
        <w:pBdr>
          <w:top w:val="nil"/>
          <w:left w:val="nil"/>
          <w:bottom w:val="nil"/>
          <w:right w:val="nil"/>
          <w:between w:val="nil"/>
        </w:pBdr>
        <w:autoSpaceDE w:val="0"/>
        <w:autoSpaceDN w:val="0"/>
        <w:adjustRightInd w:val="0"/>
        <w:spacing w:after="0" w:line="264" w:lineRule="auto"/>
        <w:jc w:val="left"/>
        <w:rPr>
          <w:rFonts w:ascii="Garamond" w:eastAsia="Calibri" w:hAnsi="Garamond" w:cstheme="majorHAnsi"/>
          <w:b/>
          <w:color w:val="000000"/>
        </w:rPr>
      </w:pPr>
      <w:r w:rsidRPr="00631477">
        <w:rPr>
          <w:rFonts w:ascii="Garamond" w:eastAsia="Calibri" w:hAnsi="Garamond" w:cstheme="majorHAnsi"/>
          <w:b/>
          <w:color w:val="000000"/>
        </w:rPr>
        <w:t>Procedimientos para la Intervención de la Infraestructura</w:t>
      </w:r>
    </w:p>
    <w:p w14:paraId="5977EF75" w14:textId="77777777" w:rsidR="00E90D2A" w:rsidRPr="00631477" w:rsidRDefault="00E90D2A" w:rsidP="00E90D2A">
      <w:pPr>
        <w:pBdr>
          <w:top w:val="nil"/>
          <w:left w:val="nil"/>
          <w:bottom w:val="nil"/>
          <w:right w:val="nil"/>
          <w:between w:val="nil"/>
        </w:pBdr>
        <w:autoSpaceDE w:val="0"/>
        <w:autoSpaceDN w:val="0"/>
        <w:adjustRightInd w:val="0"/>
        <w:spacing w:after="0" w:line="264" w:lineRule="auto"/>
        <w:rPr>
          <w:rFonts w:ascii="Garamond" w:eastAsia="Calibri" w:hAnsi="Garamond" w:cstheme="majorHAnsi"/>
          <w:b/>
          <w:color w:val="000000"/>
        </w:rPr>
      </w:pPr>
    </w:p>
    <w:tbl>
      <w:tblPr>
        <w:tblW w:w="8917" w:type="dxa"/>
        <w:tblInd w:w="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78"/>
        <w:gridCol w:w="6639"/>
      </w:tblGrid>
      <w:tr w:rsidR="00E90D2A" w:rsidRPr="00631477" w14:paraId="5A6649CE" w14:textId="77777777" w:rsidTr="00A94AA6">
        <w:trPr>
          <w:trHeight w:val="410"/>
        </w:trPr>
        <w:tc>
          <w:tcPr>
            <w:tcW w:w="2278" w:type="dxa"/>
            <w:shd w:val="clear" w:color="auto" w:fill="FFFFFF"/>
            <w:vAlign w:val="center"/>
          </w:tcPr>
          <w:p w14:paraId="692A4AB2" w14:textId="77777777" w:rsidR="00E90D2A" w:rsidRPr="00631477" w:rsidRDefault="00E90D2A" w:rsidP="00A94AA6">
            <w:pPr>
              <w:jc w:val="center"/>
              <w:rPr>
                <w:rFonts w:ascii="Garamond" w:eastAsia="Calibri" w:hAnsi="Garamond" w:cstheme="majorHAnsi"/>
                <w:b/>
                <w:color w:val="333333"/>
              </w:rPr>
            </w:pPr>
            <w:r w:rsidRPr="00631477">
              <w:rPr>
                <w:rFonts w:ascii="Garamond" w:eastAsia="Calibri" w:hAnsi="Garamond" w:cstheme="majorHAnsi"/>
                <w:b/>
                <w:color w:val="333333"/>
              </w:rPr>
              <w:t>Tipo de Documento</w:t>
            </w:r>
          </w:p>
        </w:tc>
        <w:tc>
          <w:tcPr>
            <w:tcW w:w="6639" w:type="dxa"/>
            <w:shd w:val="clear" w:color="auto" w:fill="FFFFFF"/>
            <w:vAlign w:val="center"/>
          </w:tcPr>
          <w:p w14:paraId="16807DC9" w14:textId="77777777" w:rsidR="00E90D2A" w:rsidRPr="00631477" w:rsidRDefault="00E90D2A" w:rsidP="00A94AA6">
            <w:pPr>
              <w:jc w:val="center"/>
              <w:rPr>
                <w:rFonts w:ascii="Garamond" w:eastAsia="Calibri" w:hAnsi="Garamond" w:cstheme="majorHAnsi"/>
                <w:b/>
                <w:color w:val="333333"/>
              </w:rPr>
            </w:pPr>
            <w:r w:rsidRPr="00631477">
              <w:rPr>
                <w:rFonts w:ascii="Garamond" w:eastAsia="Calibri" w:hAnsi="Garamond" w:cstheme="majorHAnsi"/>
                <w:b/>
                <w:color w:val="333333"/>
              </w:rPr>
              <w:t>Documento</w:t>
            </w:r>
          </w:p>
        </w:tc>
      </w:tr>
      <w:tr w:rsidR="00E90D2A" w:rsidRPr="00631477" w14:paraId="6C4473CE" w14:textId="77777777" w:rsidTr="00A94AA6">
        <w:trPr>
          <w:trHeight w:val="578"/>
        </w:trPr>
        <w:tc>
          <w:tcPr>
            <w:tcW w:w="2278" w:type="dxa"/>
            <w:shd w:val="clear" w:color="auto" w:fill="FFFFFF"/>
            <w:vAlign w:val="center"/>
          </w:tcPr>
          <w:p w14:paraId="212A501C" w14:textId="77777777" w:rsidR="00E90D2A" w:rsidRPr="00631477" w:rsidRDefault="00E90D2A" w:rsidP="00A94AA6">
            <w:pPr>
              <w:rPr>
                <w:rFonts w:ascii="Garamond" w:eastAsia="Calibri" w:hAnsi="Garamond" w:cstheme="majorHAnsi"/>
                <w:color w:val="333333"/>
              </w:rPr>
            </w:pPr>
            <w:r w:rsidRPr="00631477">
              <w:rPr>
                <w:rFonts w:ascii="Garamond" w:eastAsia="Calibri" w:hAnsi="Garamond" w:cstheme="majorHAnsi"/>
                <w:color w:val="333333"/>
              </w:rPr>
              <w:t>Instructivo</w:t>
            </w:r>
          </w:p>
        </w:tc>
        <w:tc>
          <w:tcPr>
            <w:tcW w:w="6639" w:type="dxa"/>
            <w:vAlign w:val="bottom"/>
          </w:tcPr>
          <w:p w14:paraId="6F5007B4" w14:textId="77777777" w:rsidR="00E90D2A" w:rsidRPr="00631477" w:rsidRDefault="00E90D2A" w:rsidP="00A94AA6">
            <w:pPr>
              <w:rPr>
                <w:rFonts w:ascii="Garamond" w:eastAsia="Calibri" w:hAnsi="Garamond" w:cstheme="majorHAnsi"/>
                <w:color w:val="000000"/>
              </w:rPr>
            </w:pPr>
            <w:r w:rsidRPr="00631477">
              <w:rPr>
                <w:rFonts w:ascii="Garamond" w:eastAsia="Calibri" w:hAnsi="Garamond" w:cstheme="majorHAnsi"/>
                <w:color w:val="000000"/>
              </w:rPr>
              <w:t>INFRA-IN-014-V1 Instructivo para la recolección y consolidación de información de obras</w:t>
            </w:r>
          </w:p>
        </w:tc>
      </w:tr>
      <w:tr w:rsidR="00E90D2A" w:rsidRPr="00631477" w14:paraId="6FE5AEE8" w14:textId="77777777" w:rsidTr="00A94AA6">
        <w:trPr>
          <w:trHeight w:val="578"/>
        </w:trPr>
        <w:tc>
          <w:tcPr>
            <w:tcW w:w="2278" w:type="dxa"/>
            <w:shd w:val="clear" w:color="auto" w:fill="FFFFFF"/>
            <w:vAlign w:val="center"/>
          </w:tcPr>
          <w:p w14:paraId="191BA9F0" w14:textId="77777777" w:rsidR="00E90D2A" w:rsidRPr="00631477" w:rsidRDefault="00E90D2A" w:rsidP="00A94AA6">
            <w:pPr>
              <w:rPr>
                <w:rFonts w:ascii="Garamond" w:eastAsia="Calibri" w:hAnsi="Garamond" w:cstheme="majorHAnsi"/>
                <w:color w:val="333333"/>
              </w:rPr>
            </w:pPr>
            <w:r w:rsidRPr="00631477">
              <w:rPr>
                <w:rFonts w:ascii="Garamond" w:eastAsia="Calibri" w:hAnsi="Garamond" w:cstheme="majorHAnsi"/>
                <w:color w:val="333333"/>
              </w:rPr>
              <w:t>Procedimiento</w:t>
            </w:r>
          </w:p>
        </w:tc>
        <w:tc>
          <w:tcPr>
            <w:tcW w:w="6639" w:type="dxa"/>
            <w:vAlign w:val="bottom"/>
          </w:tcPr>
          <w:p w14:paraId="555318A7" w14:textId="77777777" w:rsidR="00E90D2A" w:rsidRPr="00631477" w:rsidRDefault="00E90D2A" w:rsidP="00A94AA6">
            <w:pPr>
              <w:rPr>
                <w:rFonts w:ascii="Garamond" w:eastAsia="Calibri" w:hAnsi="Garamond" w:cstheme="majorHAnsi"/>
                <w:color w:val="000000"/>
              </w:rPr>
            </w:pPr>
            <w:r w:rsidRPr="00631477">
              <w:rPr>
                <w:rFonts w:ascii="Garamond" w:eastAsia="Calibri" w:hAnsi="Garamond" w:cstheme="majorHAnsi"/>
                <w:color w:val="000000"/>
              </w:rPr>
              <w:t>INFRA-PR-001-V1 Procedimiento Programación de Intervenciones de la Malla Vial</w:t>
            </w:r>
          </w:p>
        </w:tc>
      </w:tr>
      <w:tr w:rsidR="00E90D2A" w:rsidRPr="00631477" w14:paraId="0A1952A4" w14:textId="77777777" w:rsidTr="00A94AA6">
        <w:trPr>
          <w:trHeight w:val="578"/>
        </w:trPr>
        <w:tc>
          <w:tcPr>
            <w:tcW w:w="2278" w:type="dxa"/>
            <w:shd w:val="clear" w:color="auto" w:fill="FFFFFF"/>
            <w:vAlign w:val="center"/>
          </w:tcPr>
          <w:p w14:paraId="5973FE3B" w14:textId="77777777" w:rsidR="00E90D2A" w:rsidRPr="00631477" w:rsidRDefault="00E90D2A" w:rsidP="00A94AA6">
            <w:pPr>
              <w:rPr>
                <w:rFonts w:ascii="Garamond" w:eastAsia="Calibri" w:hAnsi="Garamond" w:cstheme="majorHAnsi"/>
                <w:color w:val="333333"/>
              </w:rPr>
            </w:pPr>
            <w:r w:rsidRPr="00631477">
              <w:rPr>
                <w:rFonts w:ascii="Garamond" w:eastAsia="Calibri" w:hAnsi="Garamond" w:cstheme="majorHAnsi"/>
                <w:color w:val="333333"/>
              </w:rPr>
              <w:t>Procedimiento</w:t>
            </w:r>
          </w:p>
        </w:tc>
        <w:tc>
          <w:tcPr>
            <w:tcW w:w="6639" w:type="dxa"/>
            <w:vAlign w:val="bottom"/>
          </w:tcPr>
          <w:p w14:paraId="51ECF254" w14:textId="77777777" w:rsidR="00E90D2A" w:rsidRPr="00631477" w:rsidRDefault="00E90D2A" w:rsidP="00A94AA6">
            <w:pPr>
              <w:rPr>
                <w:rFonts w:ascii="Garamond" w:eastAsia="Calibri" w:hAnsi="Garamond" w:cstheme="majorHAnsi"/>
                <w:color w:val="000000"/>
              </w:rPr>
            </w:pPr>
            <w:r w:rsidRPr="00631477">
              <w:rPr>
                <w:rFonts w:ascii="Garamond" w:eastAsia="Calibri" w:hAnsi="Garamond" w:cstheme="majorHAnsi"/>
                <w:color w:val="000000"/>
              </w:rPr>
              <w:t>INFRA-PR-002-V1 Procedimiento Intervención de la Malla Vial</w:t>
            </w:r>
          </w:p>
        </w:tc>
      </w:tr>
      <w:tr w:rsidR="00E90D2A" w:rsidRPr="00631477" w14:paraId="408FD27E" w14:textId="77777777" w:rsidTr="00A94AA6">
        <w:trPr>
          <w:trHeight w:val="289"/>
        </w:trPr>
        <w:tc>
          <w:tcPr>
            <w:tcW w:w="2278" w:type="dxa"/>
            <w:shd w:val="clear" w:color="auto" w:fill="FFFFFF"/>
            <w:vAlign w:val="center"/>
          </w:tcPr>
          <w:p w14:paraId="0884140E" w14:textId="77777777" w:rsidR="00E90D2A" w:rsidRPr="00631477" w:rsidRDefault="00E90D2A" w:rsidP="00A94AA6">
            <w:pPr>
              <w:rPr>
                <w:rFonts w:ascii="Garamond" w:eastAsia="Calibri" w:hAnsi="Garamond" w:cstheme="majorHAnsi"/>
                <w:color w:val="333333"/>
              </w:rPr>
            </w:pPr>
            <w:r w:rsidRPr="00631477">
              <w:rPr>
                <w:rFonts w:ascii="Garamond" w:eastAsia="Calibri" w:hAnsi="Garamond" w:cstheme="majorHAnsi"/>
                <w:color w:val="333333"/>
              </w:rPr>
              <w:t>Procedimiento</w:t>
            </w:r>
          </w:p>
        </w:tc>
        <w:tc>
          <w:tcPr>
            <w:tcW w:w="6639" w:type="dxa"/>
            <w:vAlign w:val="bottom"/>
          </w:tcPr>
          <w:p w14:paraId="4E021296" w14:textId="77777777" w:rsidR="00E90D2A" w:rsidRPr="00631477" w:rsidRDefault="00E90D2A" w:rsidP="00A94AA6">
            <w:pPr>
              <w:rPr>
                <w:rFonts w:ascii="Garamond" w:eastAsia="Calibri" w:hAnsi="Garamond" w:cstheme="majorHAnsi"/>
                <w:color w:val="000000"/>
              </w:rPr>
            </w:pPr>
            <w:r w:rsidRPr="00631477">
              <w:rPr>
                <w:rFonts w:ascii="Garamond" w:eastAsia="Calibri" w:hAnsi="Garamond" w:cstheme="majorHAnsi"/>
                <w:color w:val="000000"/>
              </w:rPr>
              <w:t>INFRA-PR-003-V1 Procedimiento Para Realizar Acciones de Movilidad</w:t>
            </w:r>
          </w:p>
        </w:tc>
      </w:tr>
      <w:tr w:rsidR="00E90D2A" w:rsidRPr="00631477" w14:paraId="31A47B39" w14:textId="77777777" w:rsidTr="00A94AA6">
        <w:trPr>
          <w:trHeight w:val="289"/>
        </w:trPr>
        <w:tc>
          <w:tcPr>
            <w:tcW w:w="2278" w:type="dxa"/>
            <w:shd w:val="clear" w:color="auto" w:fill="FFFFFF"/>
            <w:vAlign w:val="center"/>
          </w:tcPr>
          <w:p w14:paraId="688B08FB" w14:textId="77777777" w:rsidR="00E90D2A" w:rsidRPr="00631477" w:rsidRDefault="00E90D2A" w:rsidP="00A94AA6">
            <w:pPr>
              <w:rPr>
                <w:rFonts w:ascii="Garamond" w:eastAsia="Calibri" w:hAnsi="Garamond" w:cstheme="majorHAnsi"/>
                <w:color w:val="333333"/>
              </w:rPr>
            </w:pPr>
            <w:r w:rsidRPr="00631477">
              <w:rPr>
                <w:rFonts w:ascii="Garamond" w:eastAsia="Calibri" w:hAnsi="Garamond" w:cstheme="majorHAnsi"/>
                <w:color w:val="333333"/>
              </w:rPr>
              <w:t>Procedimiento</w:t>
            </w:r>
          </w:p>
        </w:tc>
        <w:tc>
          <w:tcPr>
            <w:tcW w:w="6639" w:type="dxa"/>
            <w:vAlign w:val="bottom"/>
          </w:tcPr>
          <w:p w14:paraId="38E483E3" w14:textId="77777777" w:rsidR="00E90D2A" w:rsidRPr="00631477" w:rsidRDefault="00E90D2A" w:rsidP="00A94AA6">
            <w:pPr>
              <w:rPr>
                <w:rFonts w:ascii="Garamond" w:eastAsia="Calibri" w:hAnsi="Garamond" w:cstheme="majorHAnsi"/>
                <w:color w:val="000000"/>
              </w:rPr>
            </w:pPr>
            <w:r w:rsidRPr="00631477">
              <w:rPr>
                <w:rFonts w:ascii="Garamond" w:eastAsia="Calibri" w:hAnsi="Garamond" w:cstheme="majorHAnsi"/>
                <w:color w:val="000000"/>
              </w:rPr>
              <w:t>INFRA-PR-004-V1 Procedimiento Gestión Social en Obra</w:t>
            </w:r>
          </w:p>
        </w:tc>
      </w:tr>
      <w:tr w:rsidR="00E90D2A" w:rsidRPr="00631477" w14:paraId="25DF3625" w14:textId="77777777" w:rsidTr="00A94AA6">
        <w:trPr>
          <w:trHeight w:val="289"/>
        </w:trPr>
        <w:tc>
          <w:tcPr>
            <w:tcW w:w="2278" w:type="dxa"/>
            <w:shd w:val="clear" w:color="auto" w:fill="FFFFFF"/>
            <w:vAlign w:val="center"/>
          </w:tcPr>
          <w:p w14:paraId="0E1818CB" w14:textId="77777777" w:rsidR="00E90D2A" w:rsidRPr="00631477" w:rsidRDefault="00E90D2A" w:rsidP="00A94AA6">
            <w:pPr>
              <w:rPr>
                <w:rFonts w:ascii="Garamond" w:eastAsia="Calibri" w:hAnsi="Garamond" w:cstheme="majorHAnsi"/>
                <w:color w:val="333333"/>
              </w:rPr>
            </w:pPr>
            <w:r w:rsidRPr="00631477">
              <w:rPr>
                <w:rFonts w:ascii="Garamond" w:eastAsia="Calibri" w:hAnsi="Garamond" w:cstheme="majorHAnsi"/>
                <w:color w:val="333333"/>
              </w:rPr>
              <w:t>Procedimiento</w:t>
            </w:r>
          </w:p>
        </w:tc>
        <w:tc>
          <w:tcPr>
            <w:tcW w:w="6639" w:type="dxa"/>
            <w:vAlign w:val="bottom"/>
          </w:tcPr>
          <w:p w14:paraId="4D7BEA7A" w14:textId="77777777" w:rsidR="00E90D2A" w:rsidRPr="00631477" w:rsidRDefault="00E90D2A" w:rsidP="00A94AA6">
            <w:pPr>
              <w:rPr>
                <w:rFonts w:ascii="Garamond" w:eastAsia="Calibri" w:hAnsi="Garamond" w:cstheme="majorHAnsi"/>
                <w:color w:val="000000"/>
              </w:rPr>
            </w:pPr>
            <w:r w:rsidRPr="00631477">
              <w:rPr>
                <w:rFonts w:ascii="Garamond" w:eastAsia="Calibri" w:hAnsi="Garamond" w:cstheme="majorHAnsi"/>
                <w:color w:val="000000"/>
              </w:rPr>
              <w:t>INFRA-PR-005-V2 Procedimiento Gestión ambiental en obra</w:t>
            </w:r>
          </w:p>
        </w:tc>
      </w:tr>
      <w:tr w:rsidR="00E90D2A" w:rsidRPr="00631477" w14:paraId="391F2924" w14:textId="77777777" w:rsidTr="00A94AA6">
        <w:trPr>
          <w:trHeight w:val="289"/>
        </w:trPr>
        <w:tc>
          <w:tcPr>
            <w:tcW w:w="2278" w:type="dxa"/>
            <w:shd w:val="clear" w:color="auto" w:fill="FFFFFF"/>
            <w:vAlign w:val="center"/>
          </w:tcPr>
          <w:p w14:paraId="7F2CEB86" w14:textId="77777777" w:rsidR="00E90D2A" w:rsidRPr="00631477" w:rsidRDefault="00E90D2A" w:rsidP="00A94AA6">
            <w:pPr>
              <w:rPr>
                <w:rFonts w:ascii="Garamond" w:eastAsia="Calibri" w:hAnsi="Garamond" w:cstheme="majorHAnsi"/>
                <w:color w:val="333333"/>
              </w:rPr>
            </w:pPr>
            <w:r w:rsidRPr="00631477">
              <w:rPr>
                <w:rFonts w:ascii="Garamond" w:eastAsia="Calibri" w:hAnsi="Garamond" w:cstheme="majorHAnsi"/>
                <w:color w:val="333333"/>
              </w:rPr>
              <w:t>Procedimiento</w:t>
            </w:r>
          </w:p>
        </w:tc>
        <w:tc>
          <w:tcPr>
            <w:tcW w:w="6639" w:type="dxa"/>
            <w:vAlign w:val="bottom"/>
          </w:tcPr>
          <w:p w14:paraId="79547BD2" w14:textId="77777777" w:rsidR="00E90D2A" w:rsidRPr="00631477" w:rsidRDefault="00E90D2A" w:rsidP="00A94AA6">
            <w:pPr>
              <w:rPr>
                <w:rFonts w:ascii="Garamond" w:eastAsia="Calibri" w:hAnsi="Garamond" w:cstheme="majorHAnsi"/>
                <w:color w:val="000000"/>
              </w:rPr>
            </w:pPr>
            <w:r w:rsidRPr="00631477">
              <w:rPr>
                <w:rFonts w:ascii="Garamond" w:eastAsia="Calibri" w:hAnsi="Garamond" w:cstheme="majorHAnsi"/>
                <w:color w:val="000000"/>
              </w:rPr>
              <w:t>INFRA-PR-006 -V1 Procedimiento solicitud y despacho de baños portátiles</w:t>
            </w:r>
          </w:p>
        </w:tc>
      </w:tr>
      <w:tr w:rsidR="00E90D2A" w:rsidRPr="00631477" w14:paraId="7652BF69" w14:textId="77777777" w:rsidTr="00A94AA6">
        <w:trPr>
          <w:trHeight w:val="289"/>
        </w:trPr>
        <w:tc>
          <w:tcPr>
            <w:tcW w:w="2278" w:type="dxa"/>
            <w:shd w:val="clear" w:color="auto" w:fill="FFFFFF"/>
            <w:vAlign w:val="center"/>
          </w:tcPr>
          <w:p w14:paraId="7B7A1BAC" w14:textId="77777777" w:rsidR="00E90D2A" w:rsidRPr="00631477" w:rsidRDefault="00E90D2A" w:rsidP="00A94AA6">
            <w:pPr>
              <w:rPr>
                <w:rFonts w:ascii="Garamond" w:eastAsia="Calibri" w:hAnsi="Garamond" w:cstheme="majorHAnsi"/>
                <w:color w:val="333333"/>
              </w:rPr>
            </w:pPr>
            <w:r w:rsidRPr="00631477">
              <w:rPr>
                <w:rFonts w:ascii="Garamond" w:eastAsia="Calibri" w:hAnsi="Garamond" w:cstheme="majorHAnsi"/>
                <w:color w:val="333333"/>
              </w:rPr>
              <w:t>Procedimiento</w:t>
            </w:r>
          </w:p>
        </w:tc>
        <w:tc>
          <w:tcPr>
            <w:tcW w:w="6639" w:type="dxa"/>
            <w:vAlign w:val="bottom"/>
          </w:tcPr>
          <w:p w14:paraId="16848E46" w14:textId="77777777" w:rsidR="00E90D2A" w:rsidRPr="00631477" w:rsidRDefault="00E90D2A" w:rsidP="00A94AA6">
            <w:pPr>
              <w:rPr>
                <w:rFonts w:ascii="Garamond" w:eastAsia="Calibri" w:hAnsi="Garamond" w:cstheme="majorHAnsi"/>
                <w:color w:val="000000"/>
              </w:rPr>
            </w:pPr>
            <w:r w:rsidRPr="00631477">
              <w:rPr>
                <w:rFonts w:ascii="Garamond" w:eastAsia="Calibri" w:hAnsi="Garamond" w:cstheme="majorHAnsi"/>
                <w:color w:val="000000"/>
              </w:rPr>
              <w:t>INFRA-PR-007-V1 Procedimiento Atención de emergencias o situaciones imprevistas</w:t>
            </w:r>
          </w:p>
        </w:tc>
      </w:tr>
      <w:tr w:rsidR="00E90D2A" w:rsidRPr="00631477" w14:paraId="589EC998" w14:textId="77777777" w:rsidTr="00A94AA6">
        <w:trPr>
          <w:trHeight w:val="578"/>
        </w:trPr>
        <w:tc>
          <w:tcPr>
            <w:tcW w:w="2278" w:type="dxa"/>
            <w:shd w:val="clear" w:color="auto" w:fill="FFFFFF"/>
            <w:vAlign w:val="center"/>
          </w:tcPr>
          <w:p w14:paraId="5F8610E2" w14:textId="77777777" w:rsidR="00E90D2A" w:rsidRPr="00631477" w:rsidRDefault="00E90D2A" w:rsidP="00A94AA6">
            <w:pPr>
              <w:rPr>
                <w:rFonts w:ascii="Garamond" w:eastAsia="Calibri" w:hAnsi="Garamond" w:cstheme="majorHAnsi"/>
                <w:color w:val="333333"/>
              </w:rPr>
            </w:pPr>
            <w:r w:rsidRPr="00631477">
              <w:rPr>
                <w:rFonts w:ascii="Garamond" w:eastAsia="Calibri" w:hAnsi="Garamond" w:cstheme="majorHAnsi"/>
                <w:color w:val="333333"/>
              </w:rPr>
              <w:t>Procedimiento</w:t>
            </w:r>
          </w:p>
        </w:tc>
        <w:tc>
          <w:tcPr>
            <w:tcW w:w="6639" w:type="dxa"/>
            <w:vAlign w:val="bottom"/>
          </w:tcPr>
          <w:p w14:paraId="3542A41D" w14:textId="77777777" w:rsidR="00E90D2A" w:rsidRPr="00631477" w:rsidRDefault="00E90D2A" w:rsidP="00A94AA6">
            <w:pPr>
              <w:rPr>
                <w:rFonts w:ascii="Garamond" w:eastAsia="Calibri" w:hAnsi="Garamond" w:cstheme="majorHAnsi"/>
                <w:color w:val="000000"/>
              </w:rPr>
            </w:pPr>
            <w:r w:rsidRPr="00631477">
              <w:rPr>
                <w:rFonts w:ascii="Garamond" w:eastAsia="Calibri" w:hAnsi="Garamond" w:cstheme="majorHAnsi"/>
                <w:color w:val="000000"/>
              </w:rPr>
              <w:t xml:space="preserve">INFRA-PR-008-V1 Procedimiento Gestión social en obras de espacio </w:t>
            </w:r>
            <w:r w:rsidRPr="00631477">
              <w:rPr>
                <w:rFonts w:ascii="Garamond" w:eastAsia="Calibri" w:hAnsi="Garamond" w:cstheme="majorHAnsi"/>
              </w:rPr>
              <w:t>público</w:t>
            </w:r>
          </w:p>
        </w:tc>
      </w:tr>
      <w:tr w:rsidR="00E90D2A" w:rsidRPr="00631477" w14:paraId="2B339432" w14:textId="77777777" w:rsidTr="00A94AA6">
        <w:trPr>
          <w:trHeight w:val="289"/>
        </w:trPr>
        <w:tc>
          <w:tcPr>
            <w:tcW w:w="2278" w:type="dxa"/>
            <w:shd w:val="clear" w:color="auto" w:fill="FFFFFF"/>
            <w:vAlign w:val="center"/>
          </w:tcPr>
          <w:p w14:paraId="5EA8BCFC" w14:textId="77777777" w:rsidR="00E90D2A" w:rsidRPr="00631477" w:rsidRDefault="00E90D2A" w:rsidP="00A94AA6">
            <w:pPr>
              <w:rPr>
                <w:rFonts w:ascii="Garamond" w:eastAsia="Calibri" w:hAnsi="Garamond" w:cstheme="majorHAnsi"/>
                <w:color w:val="333333"/>
              </w:rPr>
            </w:pPr>
            <w:r w:rsidRPr="00631477">
              <w:rPr>
                <w:rFonts w:ascii="Garamond" w:eastAsia="Calibri" w:hAnsi="Garamond" w:cstheme="majorHAnsi"/>
                <w:color w:val="333333"/>
              </w:rPr>
              <w:t>Procedimiento</w:t>
            </w:r>
          </w:p>
        </w:tc>
        <w:tc>
          <w:tcPr>
            <w:tcW w:w="6639" w:type="dxa"/>
            <w:vAlign w:val="bottom"/>
          </w:tcPr>
          <w:p w14:paraId="0A66F78D" w14:textId="77777777" w:rsidR="00E90D2A" w:rsidRPr="00631477" w:rsidRDefault="00E90D2A" w:rsidP="00A94AA6">
            <w:pPr>
              <w:rPr>
                <w:rFonts w:ascii="Garamond" w:eastAsia="Calibri" w:hAnsi="Garamond" w:cstheme="majorHAnsi"/>
                <w:color w:val="000000"/>
              </w:rPr>
            </w:pPr>
            <w:r w:rsidRPr="00631477">
              <w:rPr>
                <w:rFonts w:ascii="Garamond" w:eastAsia="Calibri" w:hAnsi="Garamond" w:cstheme="majorHAnsi"/>
                <w:color w:val="000000"/>
              </w:rPr>
              <w:t>INFRA-PR-009-V1 Procedimiento Intervención de Espacio Público-</w:t>
            </w:r>
          </w:p>
        </w:tc>
      </w:tr>
      <w:tr w:rsidR="00E90D2A" w:rsidRPr="00631477" w14:paraId="10DEAE57" w14:textId="77777777" w:rsidTr="00A94AA6">
        <w:trPr>
          <w:trHeight w:val="289"/>
        </w:trPr>
        <w:tc>
          <w:tcPr>
            <w:tcW w:w="2278" w:type="dxa"/>
            <w:shd w:val="clear" w:color="auto" w:fill="FFFFFF"/>
            <w:vAlign w:val="center"/>
          </w:tcPr>
          <w:p w14:paraId="74C90FF0" w14:textId="77777777" w:rsidR="00E90D2A" w:rsidRPr="00631477" w:rsidRDefault="00E90D2A" w:rsidP="00A94AA6">
            <w:pPr>
              <w:rPr>
                <w:rFonts w:ascii="Garamond" w:eastAsia="Calibri" w:hAnsi="Garamond" w:cstheme="majorHAnsi"/>
                <w:color w:val="333333"/>
              </w:rPr>
            </w:pPr>
            <w:r w:rsidRPr="00631477">
              <w:rPr>
                <w:rFonts w:ascii="Garamond" w:eastAsia="Calibri" w:hAnsi="Garamond" w:cstheme="majorHAnsi"/>
                <w:color w:val="333333"/>
              </w:rPr>
              <w:t>Procedimiento</w:t>
            </w:r>
          </w:p>
        </w:tc>
        <w:tc>
          <w:tcPr>
            <w:tcW w:w="6639" w:type="dxa"/>
            <w:vAlign w:val="bottom"/>
          </w:tcPr>
          <w:p w14:paraId="607558DB" w14:textId="77777777" w:rsidR="00E90D2A" w:rsidRPr="00631477" w:rsidRDefault="00E90D2A" w:rsidP="00A94AA6">
            <w:pPr>
              <w:rPr>
                <w:rFonts w:ascii="Garamond" w:eastAsia="Calibri" w:hAnsi="Garamond" w:cstheme="majorHAnsi"/>
                <w:color w:val="000000"/>
              </w:rPr>
            </w:pPr>
            <w:r w:rsidRPr="00631477">
              <w:rPr>
                <w:rFonts w:ascii="Garamond" w:eastAsia="Calibri" w:hAnsi="Garamond" w:cstheme="majorHAnsi"/>
                <w:color w:val="000000"/>
              </w:rPr>
              <w:t>INFRA-PR-010-V1 Procedimiento Gestión Social en Obra en obras de bioingeniería</w:t>
            </w:r>
          </w:p>
        </w:tc>
      </w:tr>
      <w:tr w:rsidR="00E90D2A" w:rsidRPr="00631477" w14:paraId="70C5DA32" w14:textId="77777777" w:rsidTr="00A94AA6">
        <w:trPr>
          <w:trHeight w:val="578"/>
        </w:trPr>
        <w:tc>
          <w:tcPr>
            <w:tcW w:w="2278" w:type="dxa"/>
            <w:shd w:val="clear" w:color="auto" w:fill="FFFFFF"/>
            <w:vAlign w:val="center"/>
          </w:tcPr>
          <w:p w14:paraId="49D2FED8" w14:textId="77777777" w:rsidR="00E90D2A" w:rsidRPr="00631477" w:rsidRDefault="00E90D2A" w:rsidP="00A94AA6">
            <w:pPr>
              <w:rPr>
                <w:rFonts w:ascii="Garamond" w:eastAsia="Calibri" w:hAnsi="Garamond" w:cstheme="majorHAnsi"/>
                <w:color w:val="333333"/>
              </w:rPr>
            </w:pPr>
            <w:r w:rsidRPr="00631477">
              <w:rPr>
                <w:rFonts w:ascii="Garamond" w:eastAsia="Calibri" w:hAnsi="Garamond" w:cstheme="majorHAnsi"/>
                <w:color w:val="333333"/>
              </w:rPr>
              <w:t>Procedimiento</w:t>
            </w:r>
          </w:p>
        </w:tc>
        <w:tc>
          <w:tcPr>
            <w:tcW w:w="6639" w:type="dxa"/>
            <w:vAlign w:val="bottom"/>
          </w:tcPr>
          <w:p w14:paraId="3E8789FF" w14:textId="77777777" w:rsidR="00E90D2A" w:rsidRPr="00631477" w:rsidRDefault="00E90D2A" w:rsidP="00A94AA6">
            <w:pPr>
              <w:rPr>
                <w:rFonts w:ascii="Garamond" w:eastAsia="Calibri" w:hAnsi="Garamond" w:cstheme="majorHAnsi"/>
                <w:color w:val="000000"/>
              </w:rPr>
            </w:pPr>
            <w:r w:rsidRPr="00631477">
              <w:rPr>
                <w:rFonts w:ascii="Garamond" w:eastAsia="Calibri" w:hAnsi="Garamond" w:cstheme="majorHAnsi"/>
                <w:color w:val="000000"/>
              </w:rPr>
              <w:t>INFRA-PR-012-V1 Procedimiento para atención de solicitudes interinstitucionales sin PK</w:t>
            </w:r>
          </w:p>
        </w:tc>
      </w:tr>
      <w:tr w:rsidR="00E90D2A" w:rsidRPr="00631477" w14:paraId="142A53B5" w14:textId="77777777" w:rsidTr="00A94AA6">
        <w:trPr>
          <w:trHeight w:val="578"/>
        </w:trPr>
        <w:tc>
          <w:tcPr>
            <w:tcW w:w="2278" w:type="dxa"/>
            <w:shd w:val="clear" w:color="auto" w:fill="FFFFFF"/>
            <w:vAlign w:val="center"/>
          </w:tcPr>
          <w:p w14:paraId="715092D8" w14:textId="77777777" w:rsidR="00E90D2A" w:rsidRPr="00631477" w:rsidRDefault="00E90D2A" w:rsidP="00A94AA6">
            <w:pPr>
              <w:rPr>
                <w:rFonts w:ascii="Garamond" w:eastAsia="Calibri" w:hAnsi="Garamond" w:cstheme="majorHAnsi"/>
                <w:color w:val="333333"/>
              </w:rPr>
            </w:pPr>
            <w:r w:rsidRPr="00631477">
              <w:rPr>
                <w:rFonts w:ascii="Garamond" w:eastAsia="Calibri" w:hAnsi="Garamond" w:cstheme="majorHAnsi"/>
                <w:color w:val="333333"/>
              </w:rPr>
              <w:t>Procedimiento</w:t>
            </w:r>
          </w:p>
        </w:tc>
        <w:tc>
          <w:tcPr>
            <w:tcW w:w="6639" w:type="dxa"/>
            <w:vAlign w:val="bottom"/>
          </w:tcPr>
          <w:p w14:paraId="3B1E4ADA" w14:textId="77777777" w:rsidR="00E90D2A" w:rsidRPr="00631477" w:rsidRDefault="00E90D2A" w:rsidP="00A94AA6">
            <w:pPr>
              <w:rPr>
                <w:rFonts w:ascii="Garamond" w:eastAsia="Calibri" w:hAnsi="Garamond" w:cstheme="majorHAnsi"/>
                <w:color w:val="000000"/>
              </w:rPr>
            </w:pPr>
            <w:r w:rsidRPr="00631477">
              <w:rPr>
                <w:rFonts w:ascii="Garamond" w:eastAsia="Calibri" w:hAnsi="Garamond" w:cstheme="majorHAnsi"/>
                <w:color w:val="000000"/>
              </w:rPr>
              <w:t xml:space="preserve">INFRA-PR-013-V1 Procedimiento para realizar acciones de movilidad en espacio </w:t>
            </w:r>
            <w:r w:rsidRPr="00631477">
              <w:rPr>
                <w:rFonts w:ascii="Garamond" w:eastAsia="Calibri" w:hAnsi="Garamond" w:cstheme="majorHAnsi"/>
              </w:rPr>
              <w:t>público</w:t>
            </w:r>
          </w:p>
        </w:tc>
      </w:tr>
      <w:tr w:rsidR="00E90D2A" w:rsidRPr="00631477" w14:paraId="61027276" w14:textId="77777777" w:rsidTr="00A94AA6">
        <w:trPr>
          <w:trHeight w:val="578"/>
        </w:trPr>
        <w:tc>
          <w:tcPr>
            <w:tcW w:w="2278" w:type="dxa"/>
            <w:shd w:val="clear" w:color="auto" w:fill="FFFFFF"/>
            <w:vAlign w:val="center"/>
          </w:tcPr>
          <w:p w14:paraId="36D9F74F" w14:textId="77777777" w:rsidR="00E90D2A" w:rsidRPr="00631477" w:rsidRDefault="00E90D2A" w:rsidP="00A94AA6">
            <w:pPr>
              <w:rPr>
                <w:rFonts w:ascii="Garamond" w:eastAsia="Calibri" w:hAnsi="Garamond" w:cstheme="majorHAnsi"/>
                <w:color w:val="333333"/>
              </w:rPr>
            </w:pPr>
            <w:r w:rsidRPr="00631477">
              <w:rPr>
                <w:rFonts w:ascii="Garamond" w:eastAsia="Calibri" w:hAnsi="Garamond" w:cstheme="majorHAnsi"/>
                <w:color w:val="333333"/>
              </w:rPr>
              <w:t>Procedimiento</w:t>
            </w:r>
          </w:p>
        </w:tc>
        <w:tc>
          <w:tcPr>
            <w:tcW w:w="6639" w:type="dxa"/>
            <w:vAlign w:val="bottom"/>
          </w:tcPr>
          <w:p w14:paraId="62F16026" w14:textId="77777777" w:rsidR="00E90D2A" w:rsidRPr="00631477" w:rsidRDefault="00E90D2A" w:rsidP="00A94AA6">
            <w:pPr>
              <w:rPr>
                <w:rFonts w:ascii="Garamond" w:eastAsia="Calibri" w:hAnsi="Garamond" w:cstheme="majorHAnsi"/>
                <w:color w:val="000000"/>
              </w:rPr>
            </w:pPr>
            <w:r w:rsidRPr="00631477">
              <w:rPr>
                <w:rFonts w:ascii="Garamond" w:eastAsia="Calibri" w:hAnsi="Garamond" w:cstheme="majorHAnsi"/>
                <w:color w:val="000000"/>
              </w:rPr>
              <w:t>INFRA-PR-014-V1 Procedimiento para realizar acciones de movilidad en ciclo infraestructura</w:t>
            </w:r>
          </w:p>
        </w:tc>
      </w:tr>
    </w:tbl>
    <w:p w14:paraId="35EDFED8" w14:textId="77777777" w:rsidR="00E90D2A" w:rsidRPr="00631477" w:rsidRDefault="00E90D2A" w:rsidP="00E90D2A">
      <w:pPr>
        <w:pBdr>
          <w:top w:val="nil"/>
          <w:left w:val="nil"/>
          <w:bottom w:val="nil"/>
          <w:right w:val="nil"/>
          <w:between w:val="nil"/>
        </w:pBdr>
        <w:autoSpaceDE w:val="0"/>
        <w:autoSpaceDN w:val="0"/>
        <w:adjustRightInd w:val="0"/>
        <w:spacing w:after="0" w:line="264" w:lineRule="auto"/>
        <w:rPr>
          <w:rFonts w:ascii="Garamond" w:eastAsia="Calibri" w:hAnsi="Garamond" w:cstheme="majorHAnsi"/>
          <w:color w:val="000000"/>
        </w:rPr>
      </w:pPr>
    </w:p>
    <w:p w14:paraId="0656867B" w14:textId="77777777" w:rsidR="00E90D2A" w:rsidRDefault="00E90D2A" w:rsidP="00E90D2A">
      <w:pPr>
        <w:pStyle w:val="Prrafodelista"/>
        <w:numPr>
          <w:ilvl w:val="0"/>
          <w:numId w:val="61"/>
        </w:numPr>
        <w:pBdr>
          <w:top w:val="nil"/>
          <w:left w:val="nil"/>
          <w:bottom w:val="nil"/>
          <w:right w:val="nil"/>
          <w:between w:val="nil"/>
        </w:pBdr>
        <w:autoSpaceDE w:val="0"/>
        <w:autoSpaceDN w:val="0"/>
        <w:adjustRightInd w:val="0"/>
        <w:spacing w:after="0" w:line="264" w:lineRule="auto"/>
        <w:jc w:val="left"/>
        <w:rPr>
          <w:rFonts w:ascii="Garamond" w:eastAsia="Calibri" w:hAnsi="Garamond" w:cstheme="majorHAnsi"/>
          <w:b/>
          <w:color w:val="000000"/>
        </w:rPr>
      </w:pPr>
      <w:r w:rsidRPr="00631477">
        <w:rPr>
          <w:rFonts w:ascii="Garamond" w:eastAsia="Calibri" w:hAnsi="Garamond" w:cstheme="majorHAnsi"/>
          <w:b/>
          <w:color w:val="000000"/>
        </w:rPr>
        <w:t>Herramientas de Gestión y medición del proceso.</w:t>
      </w:r>
    </w:p>
    <w:p w14:paraId="4071C046" w14:textId="77777777" w:rsidR="00E90D2A" w:rsidRPr="00631477" w:rsidRDefault="00E90D2A" w:rsidP="00E90D2A">
      <w:pPr>
        <w:pStyle w:val="Prrafodelista"/>
        <w:pBdr>
          <w:top w:val="nil"/>
          <w:left w:val="nil"/>
          <w:bottom w:val="nil"/>
          <w:right w:val="nil"/>
          <w:between w:val="nil"/>
        </w:pBdr>
        <w:autoSpaceDE w:val="0"/>
        <w:autoSpaceDN w:val="0"/>
        <w:adjustRightInd w:val="0"/>
        <w:spacing w:after="0" w:line="264" w:lineRule="auto"/>
        <w:rPr>
          <w:rFonts w:ascii="Garamond" w:eastAsia="Calibri" w:hAnsi="Garamond" w:cstheme="majorHAnsi"/>
          <w:b/>
          <w:color w:val="000000"/>
        </w:rPr>
      </w:pPr>
    </w:p>
    <w:p w14:paraId="66EA21FB" w14:textId="77777777" w:rsidR="00E90D2A" w:rsidRPr="00631477" w:rsidRDefault="00E90D2A" w:rsidP="00E90D2A">
      <w:pPr>
        <w:rPr>
          <w:rFonts w:ascii="Garamond" w:eastAsia="Calibri" w:hAnsi="Garamond" w:cstheme="majorHAnsi"/>
        </w:rPr>
      </w:pPr>
      <w:r w:rsidRPr="00631477">
        <w:rPr>
          <w:rFonts w:ascii="Garamond" w:eastAsia="Calibri" w:hAnsi="Garamond" w:cstheme="majorHAnsi"/>
        </w:rPr>
        <w:t>Para todos los proyectos listados se establecerán indicadores de gestión para el control de todas las fases del convenio, partiendo de los definidos en el Sistema de Gestión de la UAERMV:</w:t>
      </w:r>
    </w:p>
    <w:tbl>
      <w:tblPr>
        <w:tblW w:w="87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6"/>
        <w:gridCol w:w="6842"/>
      </w:tblGrid>
      <w:tr w:rsidR="00E90D2A" w:rsidRPr="00631477" w14:paraId="7C6D64F1" w14:textId="77777777" w:rsidTr="00A94AA6">
        <w:trPr>
          <w:trHeight w:val="416"/>
          <w:jc w:val="center"/>
        </w:trPr>
        <w:tc>
          <w:tcPr>
            <w:tcW w:w="1906" w:type="dxa"/>
            <w:shd w:val="clear" w:color="auto" w:fill="FFFFFF"/>
            <w:vAlign w:val="center"/>
          </w:tcPr>
          <w:p w14:paraId="3F26913F" w14:textId="77777777" w:rsidR="00E90D2A" w:rsidRPr="00631477" w:rsidRDefault="00E90D2A" w:rsidP="00A94AA6">
            <w:pPr>
              <w:jc w:val="center"/>
              <w:rPr>
                <w:rFonts w:ascii="Garamond" w:eastAsia="Calibri" w:hAnsi="Garamond" w:cstheme="majorHAnsi"/>
                <w:b/>
                <w:color w:val="333333"/>
              </w:rPr>
            </w:pPr>
            <w:r w:rsidRPr="00631477">
              <w:rPr>
                <w:rFonts w:ascii="Garamond" w:eastAsia="Calibri" w:hAnsi="Garamond" w:cstheme="majorHAnsi"/>
                <w:b/>
                <w:color w:val="333333"/>
              </w:rPr>
              <w:t>Tipo de Documento</w:t>
            </w:r>
          </w:p>
        </w:tc>
        <w:tc>
          <w:tcPr>
            <w:tcW w:w="6842" w:type="dxa"/>
            <w:shd w:val="clear" w:color="auto" w:fill="FFFFFF"/>
            <w:vAlign w:val="center"/>
          </w:tcPr>
          <w:p w14:paraId="459EE96A" w14:textId="77777777" w:rsidR="00E90D2A" w:rsidRPr="00631477" w:rsidRDefault="00E90D2A" w:rsidP="00A94AA6">
            <w:pPr>
              <w:jc w:val="center"/>
              <w:rPr>
                <w:rFonts w:ascii="Garamond" w:eastAsia="Calibri" w:hAnsi="Garamond" w:cstheme="majorHAnsi"/>
                <w:b/>
                <w:color w:val="333333"/>
              </w:rPr>
            </w:pPr>
            <w:r w:rsidRPr="00631477">
              <w:rPr>
                <w:rFonts w:ascii="Garamond" w:eastAsia="Calibri" w:hAnsi="Garamond" w:cstheme="majorHAnsi"/>
                <w:b/>
                <w:color w:val="333333"/>
              </w:rPr>
              <w:t>Documento</w:t>
            </w:r>
          </w:p>
        </w:tc>
      </w:tr>
      <w:tr w:rsidR="00E90D2A" w:rsidRPr="00631477" w14:paraId="3F0D73D0" w14:textId="77777777" w:rsidTr="00A94AA6">
        <w:trPr>
          <w:trHeight w:val="287"/>
          <w:jc w:val="center"/>
        </w:trPr>
        <w:tc>
          <w:tcPr>
            <w:tcW w:w="1906" w:type="dxa"/>
            <w:shd w:val="clear" w:color="auto" w:fill="FFFFFF"/>
            <w:vAlign w:val="center"/>
          </w:tcPr>
          <w:p w14:paraId="0BC65ECD" w14:textId="77777777" w:rsidR="00E90D2A" w:rsidRPr="00631477" w:rsidRDefault="00E90D2A" w:rsidP="00A94AA6">
            <w:pPr>
              <w:rPr>
                <w:rFonts w:ascii="Garamond" w:eastAsia="Calibri" w:hAnsi="Garamond" w:cstheme="majorHAnsi"/>
                <w:color w:val="333333"/>
              </w:rPr>
            </w:pPr>
            <w:r w:rsidRPr="00631477">
              <w:rPr>
                <w:rFonts w:ascii="Garamond" w:eastAsia="Calibri" w:hAnsi="Garamond" w:cstheme="majorHAnsi"/>
                <w:color w:val="333333"/>
              </w:rPr>
              <w:t>Indicador</w:t>
            </w:r>
          </w:p>
        </w:tc>
        <w:tc>
          <w:tcPr>
            <w:tcW w:w="6842" w:type="dxa"/>
            <w:vAlign w:val="center"/>
          </w:tcPr>
          <w:p w14:paraId="542F8BA7" w14:textId="77777777" w:rsidR="00E90D2A" w:rsidRPr="00631477" w:rsidRDefault="00E90D2A" w:rsidP="00A94AA6">
            <w:pPr>
              <w:rPr>
                <w:rFonts w:ascii="Garamond" w:eastAsia="Calibri" w:hAnsi="Garamond" w:cstheme="majorHAnsi"/>
                <w:color w:val="000000"/>
              </w:rPr>
            </w:pPr>
            <w:r w:rsidRPr="00631477">
              <w:rPr>
                <w:rFonts w:ascii="Garamond" w:eastAsia="Calibri" w:hAnsi="Garamond" w:cstheme="majorHAnsi"/>
                <w:color w:val="000000"/>
              </w:rPr>
              <w:t>INFRA-IND-001-V1 Cumplimiento de Metas de Intervención de Vías</w:t>
            </w:r>
          </w:p>
        </w:tc>
      </w:tr>
      <w:tr w:rsidR="00E90D2A" w:rsidRPr="00631477" w14:paraId="51FC9017" w14:textId="77777777" w:rsidTr="00A94AA6">
        <w:trPr>
          <w:trHeight w:val="293"/>
          <w:jc w:val="center"/>
        </w:trPr>
        <w:tc>
          <w:tcPr>
            <w:tcW w:w="1906" w:type="dxa"/>
            <w:shd w:val="clear" w:color="auto" w:fill="FFFFFF"/>
            <w:vAlign w:val="center"/>
          </w:tcPr>
          <w:p w14:paraId="0220CCDB" w14:textId="77777777" w:rsidR="00E90D2A" w:rsidRPr="00631477" w:rsidRDefault="00E90D2A" w:rsidP="00A94AA6">
            <w:pPr>
              <w:rPr>
                <w:rFonts w:ascii="Garamond" w:eastAsia="Calibri" w:hAnsi="Garamond" w:cstheme="majorHAnsi"/>
                <w:color w:val="333333"/>
              </w:rPr>
            </w:pPr>
            <w:r w:rsidRPr="00631477">
              <w:rPr>
                <w:rFonts w:ascii="Garamond" w:eastAsia="Calibri" w:hAnsi="Garamond" w:cstheme="majorHAnsi"/>
                <w:color w:val="333333"/>
              </w:rPr>
              <w:t>Indicador</w:t>
            </w:r>
          </w:p>
        </w:tc>
        <w:tc>
          <w:tcPr>
            <w:tcW w:w="6842" w:type="dxa"/>
            <w:vAlign w:val="center"/>
          </w:tcPr>
          <w:p w14:paraId="3F5F9C50" w14:textId="77777777" w:rsidR="00E90D2A" w:rsidRPr="00631477" w:rsidRDefault="00E90D2A" w:rsidP="00A94AA6">
            <w:pPr>
              <w:rPr>
                <w:rFonts w:ascii="Garamond" w:eastAsia="Calibri" w:hAnsi="Garamond" w:cstheme="majorHAnsi"/>
                <w:color w:val="000000"/>
              </w:rPr>
            </w:pPr>
            <w:r w:rsidRPr="00631477">
              <w:rPr>
                <w:rFonts w:ascii="Garamond" w:eastAsia="Calibri" w:hAnsi="Garamond" w:cstheme="majorHAnsi"/>
                <w:color w:val="000000"/>
              </w:rPr>
              <w:t>INFRA-IND-002-V1 Población Satisfecha</w:t>
            </w:r>
          </w:p>
        </w:tc>
      </w:tr>
      <w:tr w:rsidR="00E90D2A" w:rsidRPr="00631477" w14:paraId="71AD623B" w14:textId="77777777" w:rsidTr="00A94AA6">
        <w:trPr>
          <w:trHeight w:val="267"/>
          <w:jc w:val="center"/>
        </w:trPr>
        <w:tc>
          <w:tcPr>
            <w:tcW w:w="1906" w:type="dxa"/>
            <w:shd w:val="clear" w:color="auto" w:fill="FFFFFF"/>
            <w:vAlign w:val="center"/>
          </w:tcPr>
          <w:p w14:paraId="6130A9D4" w14:textId="77777777" w:rsidR="00E90D2A" w:rsidRPr="00631477" w:rsidRDefault="00E90D2A" w:rsidP="00A94AA6">
            <w:pPr>
              <w:rPr>
                <w:rFonts w:ascii="Garamond" w:eastAsia="Calibri" w:hAnsi="Garamond" w:cstheme="majorHAnsi"/>
                <w:color w:val="333333"/>
              </w:rPr>
            </w:pPr>
            <w:r w:rsidRPr="00631477">
              <w:rPr>
                <w:rFonts w:ascii="Garamond" w:eastAsia="Calibri" w:hAnsi="Garamond" w:cstheme="majorHAnsi"/>
                <w:color w:val="333333"/>
              </w:rPr>
              <w:t>Indicador</w:t>
            </w:r>
          </w:p>
        </w:tc>
        <w:tc>
          <w:tcPr>
            <w:tcW w:w="6842" w:type="dxa"/>
            <w:vAlign w:val="center"/>
          </w:tcPr>
          <w:p w14:paraId="22F0244D" w14:textId="77777777" w:rsidR="00E90D2A" w:rsidRPr="00631477" w:rsidRDefault="00E90D2A" w:rsidP="00A94AA6">
            <w:pPr>
              <w:rPr>
                <w:rFonts w:ascii="Garamond" w:eastAsia="Calibri" w:hAnsi="Garamond" w:cstheme="majorHAnsi"/>
                <w:color w:val="000000"/>
              </w:rPr>
            </w:pPr>
            <w:r w:rsidRPr="00631477">
              <w:rPr>
                <w:rFonts w:ascii="Garamond" w:eastAsia="Calibri" w:hAnsi="Garamond" w:cstheme="majorHAnsi"/>
                <w:color w:val="000000"/>
              </w:rPr>
              <w:t>INFRA-IND-003-V1 Nivel Promedio de Satisfacción</w:t>
            </w:r>
          </w:p>
        </w:tc>
      </w:tr>
      <w:tr w:rsidR="00E90D2A" w:rsidRPr="00631477" w14:paraId="5EC69801" w14:textId="77777777" w:rsidTr="00A94AA6">
        <w:trPr>
          <w:trHeight w:val="284"/>
          <w:jc w:val="center"/>
        </w:trPr>
        <w:tc>
          <w:tcPr>
            <w:tcW w:w="1906" w:type="dxa"/>
            <w:shd w:val="clear" w:color="auto" w:fill="FFFFFF"/>
            <w:vAlign w:val="center"/>
          </w:tcPr>
          <w:p w14:paraId="239E5D7B" w14:textId="77777777" w:rsidR="00E90D2A" w:rsidRPr="00631477" w:rsidRDefault="00E90D2A" w:rsidP="00A94AA6">
            <w:pPr>
              <w:rPr>
                <w:rFonts w:ascii="Garamond" w:eastAsia="Calibri" w:hAnsi="Garamond" w:cstheme="majorHAnsi"/>
                <w:color w:val="333333"/>
              </w:rPr>
            </w:pPr>
            <w:r w:rsidRPr="00631477">
              <w:rPr>
                <w:rFonts w:ascii="Garamond" w:eastAsia="Calibri" w:hAnsi="Garamond" w:cstheme="majorHAnsi"/>
                <w:color w:val="333333"/>
              </w:rPr>
              <w:t>Indicador</w:t>
            </w:r>
          </w:p>
        </w:tc>
        <w:tc>
          <w:tcPr>
            <w:tcW w:w="6842" w:type="dxa"/>
            <w:vAlign w:val="center"/>
          </w:tcPr>
          <w:p w14:paraId="0D750ED4" w14:textId="77777777" w:rsidR="00E90D2A" w:rsidRPr="00631477" w:rsidRDefault="00E90D2A" w:rsidP="00A94AA6">
            <w:pPr>
              <w:rPr>
                <w:rFonts w:ascii="Garamond" w:eastAsia="Calibri" w:hAnsi="Garamond" w:cstheme="majorHAnsi"/>
                <w:color w:val="000000"/>
              </w:rPr>
            </w:pPr>
            <w:r w:rsidRPr="00631477">
              <w:rPr>
                <w:rFonts w:ascii="Garamond" w:eastAsia="Calibri" w:hAnsi="Garamond" w:cstheme="majorHAnsi"/>
                <w:color w:val="000000"/>
              </w:rPr>
              <w:t xml:space="preserve">INFRA-IND-004-V1 cumplimiento de metas de </w:t>
            </w:r>
            <w:proofErr w:type="spellStart"/>
            <w:r w:rsidRPr="00631477">
              <w:rPr>
                <w:rFonts w:ascii="Garamond" w:eastAsia="Calibri" w:hAnsi="Garamond" w:cstheme="majorHAnsi"/>
                <w:color w:val="000000"/>
              </w:rPr>
              <w:t>ciclorutas</w:t>
            </w:r>
            <w:proofErr w:type="spellEnd"/>
          </w:p>
        </w:tc>
      </w:tr>
      <w:tr w:rsidR="00E90D2A" w:rsidRPr="00631477" w14:paraId="4C163DD0" w14:textId="77777777" w:rsidTr="00A94AA6">
        <w:trPr>
          <w:trHeight w:val="119"/>
          <w:jc w:val="center"/>
        </w:trPr>
        <w:tc>
          <w:tcPr>
            <w:tcW w:w="1906" w:type="dxa"/>
            <w:shd w:val="clear" w:color="auto" w:fill="FFFFFF"/>
            <w:vAlign w:val="center"/>
          </w:tcPr>
          <w:p w14:paraId="03C25906" w14:textId="77777777" w:rsidR="00E90D2A" w:rsidRPr="00631477" w:rsidRDefault="00E90D2A" w:rsidP="00A94AA6">
            <w:pPr>
              <w:rPr>
                <w:rFonts w:ascii="Garamond" w:eastAsia="Calibri" w:hAnsi="Garamond" w:cstheme="majorHAnsi"/>
                <w:color w:val="333333"/>
              </w:rPr>
            </w:pPr>
            <w:r w:rsidRPr="00631477">
              <w:rPr>
                <w:rFonts w:ascii="Garamond" w:eastAsia="Calibri" w:hAnsi="Garamond" w:cstheme="majorHAnsi"/>
                <w:color w:val="333333"/>
              </w:rPr>
              <w:t>Indicador</w:t>
            </w:r>
          </w:p>
        </w:tc>
        <w:tc>
          <w:tcPr>
            <w:tcW w:w="6842" w:type="dxa"/>
            <w:vAlign w:val="center"/>
          </w:tcPr>
          <w:p w14:paraId="51DDFBEB" w14:textId="77777777" w:rsidR="00E90D2A" w:rsidRPr="00631477" w:rsidRDefault="00E90D2A" w:rsidP="00A94AA6">
            <w:pPr>
              <w:rPr>
                <w:rFonts w:ascii="Garamond" w:eastAsia="Calibri" w:hAnsi="Garamond" w:cstheme="majorHAnsi"/>
                <w:color w:val="000000"/>
              </w:rPr>
            </w:pPr>
            <w:r w:rsidRPr="00631477">
              <w:rPr>
                <w:rFonts w:ascii="Garamond" w:eastAsia="Calibri" w:hAnsi="Garamond" w:cstheme="majorHAnsi"/>
                <w:color w:val="000000"/>
              </w:rPr>
              <w:t xml:space="preserve">INFRA-IND-005-V1 cumplimiento de metas de espacio </w:t>
            </w:r>
            <w:r w:rsidRPr="00631477">
              <w:rPr>
                <w:rFonts w:ascii="Garamond" w:eastAsia="Calibri" w:hAnsi="Garamond" w:cstheme="majorHAnsi"/>
              </w:rPr>
              <w:t>público</w:t>
            </w:r>
          </w:p>
        </w:tc>
      </w:tr>
    </w:tbl>
    <w:p w14:paraId="0C4E2D6E" w14:textId="77777777" w:rsidR="00E90D2A" w:rsidRPr="00006835" w:rsidRDefault="00E90D2A" w:rsidP="00E90D2A">
      <w:pPr>
        <w:pBdr>
          <w:top w:val="nil"/>
          <w:left w:val="nil"/>
          <w:bottom w:val="nil"/>
          <w:right w:val="nil"/>
          <w:between w:val="nil"/>
        </w:pBdr>
        <w:autoSpaceDE w:val="0"/>
        <w:autoSpaceDN w:val="0"/>
        <w:adjustRightInd w:val="0"/>
        <w:spacing w:after="0" w:line="264" w:lineRule="auto"/>
        <w:rPr>
          <w:rFonts w:ascii="Garamond" w:eastAsia="Calibri" w:hAnsi="Garamond" w:cstheme="majorHAnsi"/>
          <w:color w:val="000000"/>
        </w:rPr>
      </w:pPr>
    </w:p>
    <w:p w14:paraId="2E3198C6" w14:textId="77777777" w:rsidR="00E90D2A" w:rsidRPr="008F0D22" w:rsidRDefault="00E90D2A" w:rsidP="00E90D2A">
      <w:pPr>
        <w:pStyle w:val="Ttulo1"/>
        <w:numPr>
          <w:ilvl w:val="0"/>
          <w:numId w:val="3"/>
        </w:numPr>
        <w:rPr>
          <w:rFonts w:ascii="Garamond" w:hAnsi="Garamond"/>
          <w:sz w:val="22"/>
          <w:szCs w:val="22"/>
        </w:rPr>
      </w:pPr>
      <w:bookmarkStart w:id="14" w:name="_Toc170821834"/>
      <w:bookmarkStart w:id="15" w:name="_Toc172295948"/>
      <w:r w:rsidRPr="008F0D22">
        <w:rPr>
          <w:rFonts w:ascii="Garamond" w:hAnsi="Garamond"/>
          <w:sz w:val="22"/>
          <w:szCs w:val="22"/>
        </w:rPr>
        <w:t>ETAPA II DE EJECUCIÓN</w:t>
      </w:r>
      <w:bookmarkEnd w:id="14"/>
      <w:bookmarkEnd w:id="15"/>
    </w:p>
    <w:p w14:paraId="3FBEA62B" w14:textId="77777777" w:rsidR="00E90D2A" w:rsidRDefault="00E90D2A" w:rsidP="00E90D2A">
      <w:pPr>
        <w:spacing w:after="0" w:line="240" w:lineRule="auto"/>
        <w:textAlignment w:val="baseline"/>
        <w:rPr>
          <w:rFonts w:ascii="Garamond" w:hAnsi="Garamond" w:cs="Arial"/>
        </w:rPr>
      </w:pPr>
      <w:r w:rsidRPr="006E74A5">
        <w:rPr>
          <w:rFonts w:ascii="Garamond" w:hAnsi="Garamond" w:cs="Arial"/>
        </w:rPr>
        <w:t>En esta etapa se desarrollarán todas las actividades necesarias para garantizar la ejecución oportuna y con calidad de las obras aprobadas</w:t>
      </w:r>
      <w:r>
        <w:rPr>
          <w:rFonts w:ascii="Garamond" w:hAnsi="Garamond" w:cs="Arial"/>
        </w:rPr>
        <w:t xml:space="preserve"> de acuerdo con el cronograma definido. </w:t>
      </w:r>
    </w:p>
    <w:p w14:paraId="2970E1DA" w14:textId="77777777" w:rsidR="00F008A9" w:rsidRDefault="00F008A9" w:rsidP="00E90D2A">
      <w:pPr>
        <w:spacing w:after="0" w:line="240" w:lineRule="auto"/>
        <w:textAlignment w:val="baseline"/>
        <w:rPr>
          <w:rFonts w:ascii="Garamond" w:hAnsi="Garamond" w:cs="Arial"/>
        </w:rPr>
      </w:pPr>
    </w:p>
    <w:p w14:paraId="7D3C6BD7" w14:textId="77777777" w:rsidR="00F008A9" w:rsidRPr="00F008A9" w:rsidRDefault="00F008A9" w:rsidP="00F008A9">
      <w:pPr>
        <w:pStyle w:val="Textocomentario"/>
        <w:jc w:val="left"/>
        <w:rPr>
          <w:rFonts w:ascii="Garamond" w:hAnsi="Garamond" w:cs="Arial"/>
          <w:szCs w:val="22"/>
          <w:lang w:val="es-CO" w:eastAsia="es-CO"/>
        </w:rPr>
      </w:pPr>
      <w:r w:rsidRPr="00F008A9">
        <w:rPr>
          <w:rFonts w:ascii="Garamond" w:hAnsi="Garamond" w:cs="Arial"/>
          <w:szCs w:val="22"/>
          <w:lang w:val="es-CO" w:eastAsia="es-CO"/>
        </w:rPr>
        <w:t>En consecuencia, se llevará a cabo por parte de la Unidad Administrativa Especial de Rehabilitación y Mantenimiento Vial – UAERMV, las actividades de conservación, para la infraestructura del espacio público para la movilidad.</w:t>
      </w:r>
    </w:p>
    <w:p w14:paraId="68988B9C" w14:textId="77777777" w:rsidR="00F008A9" w:rsidRPr="00F008A9" w:rsidRDefault="00F008A9" w:rsidP="00E90D2A">
      <w:pPr>
        <w:spacing w:after="0" w:line="240" w:lineRule="auto"/>
        <w:textAlignment w:val="baseline"/>
        <w:rPr>
          <w:rFonts w:ascii="Garamond" w:hAnsi="Garamond" w:cs="Arial"/>
          <w:lang w:val="x-none"/>
        </w:rPr>
      </w:pPr>
    </w:p>
    <w:p w14:paraId="7308B1FD" w14:textId="77777777" w:rsidR="00E90D2A" w:rsidRDefault="00E90D2A" w:rsidP="00E90D2A">
      <w:pPr>
        <w:spacing w:after="0" w:line="240" w:lineRule="auto"/>
        <w:textAlignment w:val="baseline"/>
        <w:rPr>
          <w:rFonts w:ascii="Garamond" w:hAnsi="Garamond" w:cs="Arial"/>
        </w:rPr>
      </w:pPr>
      <w:r>
        <w:rPr>
          <w:rFonts w:ascii="Garamond" w:hAnsi="Garamond" w:cs="Arial"/>
        </w:rPr>
        <w:t>Al finalizar esta etapa, se entregarán los siguientes productos:</w:t>
      </w:r>
    </w:p>
    <w:p w14:paraId="2FA12894" w14:textId="77777777" w:rsidR="00E90D2A" w:rsidRDefault="00E90D2A" w:rsidP="00E90D2A">
      <w:pPr>
        <w:spacing w:after="0" w:line="240" w:lineRule="auto"/>
        <w:textAlignment w:val="baseline"/>
        <w:rPr>
          <w:rFonts w:ascii="Garamond" w:hAnsi="Garamond" w:cs="Arial"/>
        </w:rPr>
      </w:pPr>
    </w:p>
    <w:p w14:paraId="549E7E5F" w14:textId="77777777" w:rsidR="00E90D2A" w:rsidRDefault="00E90D2A" w:rsidP="00E90D2A">
      <w:pPr>
        <w:autoSpaceDE w:val="0"/>
        <w:autoSpaceDN w:val="0"/>
        <w:adjustRightInd w:val="0"/>
        <w:spacing w:after="0" w:line="240" w:lineRule="auto"/>
        <w:rPr>
          <w:rFonts w:ascii="Garamond" w:eastAsiaTheme="minorHAnsi" w:hAnsi="Garamond" w:cs="Arial"/>
          <w:lang w:eastAsia="en-US"/>
        </w:rPr>
      </w:pPr>
      <w:r>
        <w:rPr>
          <w:rFonts w:ascii="Garamond" w:eastAsiaTheme="minorHAnsi" w:hAnsi="Garamond" w:cs="Arial"/>
          <w:lang w:eastAsia="en-US"/>
        </w:rPr>
        <w:t>Se deberá entregar, todos los diagnósticos, y diseños cumpliendo con las especificaciones técnicas el IDU que se generen durante la ejecución del convenio.</w:t>
      </w:r>
    </w:p>
    <w:p w14:paraId="5F62DCB9" w14:textId="77777777" w:rsidR="00E90D2A" w:rsidRPr="00550B3B" w:rsidRDefault="00E90D2A" w:rsidP="00E90D2A">
      <w:pPr>
        <w:autoSpaceDE w:val="0"/>
        <w:autoSpaceDN w:val="0"/>
        <w:adjustRightInd w:val="0"/>
        <w:spacing w:after="0" w:line="240" w:lineRule="auto"/>
        <w:rPr>
          <w:rFonts w:ascii="Garamond" w:eastAsiaTheme="minorHAnsi" w:hAnsi="Garamond" w:cs="Arial"/>
          <w:lang w:eastAsia="en-US"/>
        </w:rPr>
      </w:pPr>
    </w:p>
    <w:p w14:paraId="07A812FF" w14:textId="77777777" w:rsidR="00E90D2A" w:rsidRPr="00550B3B" w:rsidRDefault="00E90D2A" w:rsidP="00E90D2A">
      <w:pPr>
        <w:autoSpaceDE w:val="0"/>
        <w:autoSpaceDN w:val="0"/>
        <w:adjustRightInd w:val="0"/>
        <w:spacing w:after="0" w:line="240" w:lineRule="auto"/>
        <w:rPr>
          <w:rFonts w:ascii="Garamond" w:eastAsiaTheme="minorHAnsi" w:hAnsi="Garamond" w:cs="Arial"/>
          <w:lang w:eastAsia="en-US"/>
        </w:rPr>
      </w:pPr>
    </w:p>
    <w:p w14:paraId="55ED6A85" w14:textId="516C980C" w:rsidR="00E90D2A" w:rsidRPr="006E74A5" w:rsidRDefault="00E90D2A" w:rsidP="00E90D2A">
      <w:pPr>
        <w:spacing w:after="0" w:line="240" w:lineRule="auto"/>
        <w:textAlignment w:val="baseline"/>
        <w:rPr>
          <w:rFonts w:ascii="Garamond" w:hAnsi="Garamond" w:cs="Arial"/>
        </w:rPr>
      </w:pPr>
      <w:r w:rsidRPr="00550B3B">
        <w:rPr>
          <w:rFonts w:ascii="Garamond" w:eastAsiaTheme="minorHAnsi" w:hAnsi="Garamond" w:cs="Arial"/>
          <w:lang w:eastAsia="en-US"/>
        </w:rPr>
        <w:t>Entrega de un documento</w:t>
      </w:r>
      <w:r>
        <w:rPr>
          <w:rFonts w:ascii="Garamond" w:eastAsiaTheme="minorHAnsi" w:hAnsi="Garamond" w:cs="Arial"/>
          <w:lang w:eastAsia="en-US"/>
        </w:rPr>
        <w:t xml:space="preserve"> (hoja de vida del Segmento)</w:t>
      </w:r>
      <w:r w:rsidRPr="00550B3B">
        <w:rPr>
          <w:rFonts w:ascii="Garamond" w:eastAsiaTheme="minorHAnsi" w:hAnsi="Garamond" w:cs="Arial"/>
          <w:lang w:eastAsia="en-US"/>
        </w:rPr>
        <w:t xml:space="preserve"> donde se demuestre la condición exacta del </w:t>
      </w:r>
      <w:r>
        <w:rPr>
          <w:rFonts w:ascii="Garamond" w:eastAsiaTheme="minorHAnsi" w:hAnsi="Garamond" w:cs="Arial"/>
          <w:lang w:eastAsia="en-US"/>
        </w:rPr>
        <w:t>segmento vial intervenido.</w:t>
      </w:r>
      <w:r w:rsidRPr="00550B3B">
        <w:rPr>
          <w:rFonts w:ascii="Garamond" w:eastAsiaTheme="minorHAnsi" w:hAnsi="Garamond" w:cs="Arial"/>
          <w:lang w:eastAsia="en-US"/>
        </w:rPr>
        <w:t xml:space="preserve"> (registro fotográfico</w:t>
      </w:r>
      <w:r>
        <w:rPr>
          <w:rFonts w:ascii="Garamond" w:eastAsiaTheme="minorHAnsi" w:hAnsi="Garamond" w:cs="Arial"/>
          <w:lang w:eastAsia="en-US"/>
        </w:rPr>
        <w:t xml:space="preserve"> antes y </w:t>
      </w:r>
      <w:r w:rsidR="00F008A9">
        <w:rPr>
          <w:rFonts w:ascii="Garamond" w:eastAsiaTheme="minorHAnsi" w:hAnsi="Garamond" w:cs="Arial"/>
          <w:lang w:eastAsia="en-US"/>
        </w:rPr>
        <w:t>después</w:t>
      </w:r>
      <w:r w:rsidRPr="00550B3B">
        <w:rPr>
          <w:rFonts w:ascii="Garamond" w:eastAsiaTheme="minorHAnsi" w:hAnsi="Garamond" w:cs="Arial"/>
          <w:lang w:eastAsia="en-US"/>
        </w:rPr>
        <w:t>, datos iniciales, área</w:t>
      </w:r>
      <w:r>
        <w:rPr>
          <w:rFonts w:ascii="Garamond" w:eastAsiaTheme="minorHAnsi" w:hAnsi="Garamond" w:cs="Arial"/>
          <w:lang w:eastAsia="en-US"/>
        </w:rPr>
        <w:t>s</w:t>
      </w:r>
      <w:r w:rsidRPr="00550B3B">
        <w:rPr>
          <w:rFonts w:ascii="Garamond" w:eastAsiaTheme="minorHAnsi" w:hAnsi="Garamond" w:cs="Arial"/>
          <w:lang w:eastAsia="en-US"/>
        </w:rPr>
        <w:t xml:space="preserve"> a interveni</w:t>
      </w:r>
      <w:r>
        <w:rPr>
          <w:rFonts w:ascii="Garamond" w:eastAsiaTheme="minorHAnsi" w:hAnsi="Garamond" w:cs="Arial"/>
          <w:lang w:eastAsia="en-US"/>
        </w:rPr>
        <w:t>das</w:t>
      </w:r>
      <w:r w:rsidRPr="00550B3B">
        <w:rPr>
          <w:rFonts w:ascii="Garamond" w:eastAsiaTheme="minorHAnsi" w:hAnsi="Garamond" w:cs="Arial"/>
          <w:lang w:eastAsia="en-US"/>
        </w:rPr>
        <w:t>, actas de vecindad, inventario de redes de las empresas de servicios públicos,</w:t>
      </w:r>
      <w:r>
        <w:rPr>
          <w:rFonts w:ascii="Garamond" w:eastAsiaTheme="minorHAnsi" w:hAnsi="Garamond" w:cs="Arial"/>
          <w:lang w:eastAsia="en-US"/>
        </w:rPr>
        <w:t xml:space="preserve"> y demás datos necesarios, los cuales serán registrados en la hoja de vida del segmento, (</w:t>
      </w:r>
      <w:r w:rsidRPr="00C87292">
        <w:rPr>
          <w:rFonts w:ascii="Garamond" w:eastAsiaTheme="minorHAnsi" w:hAnsi="Garamond" w:cs="Arial"/>
          <w:b/>
          <w:bCs/>
          <w:lang w:eastAsia="en-US"/>
        </w:rPr>
        <w:t>cuando apliquen</w:t>
      </w:r>
      <w:r w:rsidRPr="00550B3B">
        <w:rPr>
          <w:rFonts w:ascii="Garamond" w:eastAsiaTheme="minorHAnsi" w:hAnsi="Garamond" w:cs="Arial"/>
          <w:lang w:eastAsia="en-US"/>
        </w:rPr>
        <w:t>).</w:t>
      </w:r>
    </w:p>
    <w:p w14:paraId="101C5EC4" w14:textId="77777777" w:rsidR="00E90D2A" w:rsidRPr="000056EA" w:rsidRDefault="00E90D2A" w:rsidP="00E90D2A">
      <w:pPr>
        <w:pStyle w:val="Ttulo1"/>
        <w:numPr>
          <w:ilvl w:val="0"/>
          <w:numId w:val="3"/>
        </w:numPr>
        <w:rPr>
          <w:rFonts w:ascii="Garamond" w:hAnsi="Garamond"/>
          <w:sz w:val="22"/>
          <w:szCs w:val="22"/>
        </w:rPr>
      </w:pPr>
      <w:bookmarkStart w:id="16" w:name="_Toc170821835"/>
      <w:bookmarkStart w:id="17" w:name="_Toc172295949"/>
      <w:r w:rsidRPr="000056EA">
        <w:rPr>
          <w:rFonts w:ascii="Garamond" w:hAnsi="Garamond"/>
          <w:sz w:val="22"/>
          <w:szCs w:val="22"/>
        </w:rPr>
        <w:t xml:space="preserve">ESTRUCTURA ECONÓMICA Y CONTROL FINANCIERO DEL CONVENIO </w:t>
      </w:r>
    </w:p>
    <w:p w14:paraId="2B6C2EA4" w14:textId="5E71A847" w:rsidR="00E90D2A" w:rsidRDefault="00E90D2A" w:rsidP="00E90D2A">
      <w:pPr>
        <w:rPr>
          <w:rFonts w:ascii="Garamond" w:hAnsi="Garamond"/>
          <w:bCs/>
        </w:rPr>
      </w:pPr>
      <w:r w:rsidRPr="005C2CF8">
        <w:rPr>
          <w:rFonts w:ascii="Garamond" w:hAnsi="Garamond"/>
        </w:rPr>
        <w:t>El FONDO DE DESARROLLO LOCAL DE</w:t>
      </w:r>
      <w:r>
        <w:rPr>
          <w:rFonts w:ascii="Garamond" w:hAnsi="Garamond"/>
        </w:rPr>
        <w:t xml:space="preserve"> </w:t>
      </w:r>
      <w:r w:rsidR="00F323CB">
        <w:rPr>
          <w:rFonts w:ascii="Garamond" w:hAnsi="Garamond"/>
        </w:rPr>
        <w:t>LOS MARTIRES</w:t>
      </w:r>
      <w:r w:rsidRPr="00C611C8">
        <w:rPr>
          <w:rFonts w:ascii="Garamond" w:hAnsi="Garamond"/>
        </w:rPr>
        <w:t xml:space="preserve"> (</w:t>
      </w:r>
      <w:r w:rsidR="00F323CB">
        <w:rPr>
          <w:rFonts w:ascii="Garamond" w:hAnsi="Garamond"/>
        </w:rPr>
        <w:t>FDLM</w:t>
      </w:r>
      <w:r w:rsidRPr="00C611C8">
        <w:rPr>
          <w:rFonts w:ascii="Garamond" w:hAnsi="Garamond"/>
        </w:rPr>
        <w:t xml:space="preserve">), </w:t>
      </w:r>
      <w:r w:rsidRPr="00C611C8">
        <w:rPr>
          <w:rFonts w:ascii="Garamond" w:hAnsi="Garamond"/>
          <w:bCs/>
        </w:rPr>
        <w:t>desembolsará</w:t>
      </w:r>
      <w:r w:rsidRPr="005C2CF8">
        <w:rPr>
          <w:rFonts w:ascii="Garamond" w:hAnsi="Garamond"/>
          <w:bCs/>
        </w:rPr>
        <w:t xml:space="preserve"> al asociado el valor del convenio </w:t>
      </w:r>
      <w:r>
        <w:rPr>
          <w:rFonts w:ascii="Garamond" w:hAnsi="Garamond"/>
          <w:bCs/>
        </w:rPr>
        <w:t xml:space="preserve">en un </w:t>
      </w:r>
      <w:r w:rsidRPr="005C2CF8">
        <w:rPr>
          <w:rFonts w:ascii="Garamond" w:hAnsi="Garamond"/>
          <w:lang w:eastAsia="es-ES"/>
        </w:rPr>
        <w:t xml:space="preserve">único desembolso equivalente al 100% de sus aportes previo </w:t>
      </w:r>
      <w:r w:rsidRPr="005C2CF8">
        <w:rPr>
          <w:rFonts w:ascii="Garamond" w:hAnsi="Garamond"/>
          <w:bCs/>
        </w:rPr>
        <w:t>cumplimiento de los requisitos de perfeccionamiento y ejecución del presente convenio</w:t>
      </w:r>
      <w:r>
        <w:rPr>
          <w:rFonts w:ascii="Garamond" w:hAnsi="Garamond"/>
          <w:bCs/>
        </w:rPr>
        <w:t>, tal como se indica en la forma de desembolso del convenio y estudio previo del mismo.</w:t>
      </w:r>
    </w:p>
    <w:p w14:paraId="5F368C5C" w14:textId="4C5C57DC" w:rsidR="00EE7227" w:rsidRDefault="00664958" w:rsidP="00664958">
      <w:pPr>
        <w:rPr>
          <w:rFonts w:ascii="Garamond" w:hAnsi="Garamond"/>
          <w:bCs/>
        </w:rPr>
      </w:pPr>
      <w:r>
        <w:rPr>
          <w:rFonts w:ascii="Garamond" w:hAnsi="Garamond"/>
          <w:bCs/>
        </w:rPr>
        <w:t xml:space="preserve">Ahora </w:t>
      </w:r>
      <w:r w:rsidR="00EE7227">
        <w:rPr>
          <w:rFonts w:ascii="Garamond" w:hAnsi="Garamond"/>
          <w:bCs/>
        </w:rPr>
        <w:t>bien,</w:t>
      </w:r>
      <w:r>
        <w:rPr>
          <w:rFonts w:ascii="Garamond" w:hAnsi="Garamond"/>
          <w:bCs/>
        </w:rPr>
        <w:t xml:space="preserve"> teniendo en cuenta lo anterior es importante aclarar que </w:t>
      </w:r>
      <w:r w:rsidRPr="00664958">
        <w:rPr>
          <w:rFonts w:ascii="Garamond" w:hAnsi="Garamond"/>
          <w:bCs/>
        </w:rPr>
        <w:t>para la realización del desembolso. Un (01) único desembolso equivalente al 100% de sus aportes previo cumplimiento de los requisitos de perfeccionamiento y ejecución del presente convenio.</w:t>
      </w:r>
      <w:r w:rsidR="00EE7227">
        <w:rPr>
          <w:rFonts w:ascii="Garamond" w:hAnsi="Garamond"/>
          <w:bCs/>
        </w:rPr>
        <w:t xml:space="preserve"> </w:t>
      </w:r>
      <w:r w:rsidRPr="00664958">
        <w:rPr>
          <w:rFonts w:ascii="Garamond" w:hAnsi="Garamond"/>
          <w:bCs/>
        </w:rPr>
        <w:t xml:space="preserve">Una vez perfeccionado y cumplidos los requisitos de ejecución del presente convenio, el </w:t>
      </w:r>
      <w:r w:rsidR="00F323CB">
        <w:rPr>
          <w:rFonts w:ascii="Garamond" w:hAnsi="Garamond"/>
          <w:bCs/>
        </w:rPr>
        <w:t>FDLM</w:t>
      </w:r>
      <w:r w:rsidRPr="00664958">
        <w:rPr>
          <w:rFonts w:ascii="Garamond" w:hAnsi="Garamond"/>
          <w:bCs/>
        </w:rPr>
        <w:t xml:space="preserve"> realizará el traslado de los recursos a la UAERMV, conforme con lo establecido en el numeral 3.2.1.3. Ajuste por Convenios o Contratos entre Entidades Distritales, del Manual de Programación, Ejecución y Cierre Presupuestal del Distrito Capital, adoptado mediante Resolución No. SDH-000191 del 22 de septiembre de 2017 y la programación del Programa Anual Mensualizado de Caja- PAC.</w:t>
      </w:r>
    </w:p>
    <w:p w14:paraId="64BE2CA5" w14:textId="77777777" w:rsidR="00EE7227" w:rsidRDefault="00664958" w:rsidP="00664958">
      <w:pPr>
        <w:rPr>
          <w:rFonts w:ascii="Garamond" w:hAnsi="Garamond"/>
          <w:bCs/>
        </w:rPr>
      </w:pPr>
      <w:r w:rsidRPr="00664958">
        <w:rPr>
          <w:rFonts w:ascii="Garamond" w:hAnsi="Garamond"/>
          <w:bCs/>
        </w:rPr>
        <w:lastRenderedPageBreak/>
        <w:br/>
        <w:t>En virtud de lo anterior, cada parte del convenio contemplará las siguientes acciones:</w:t>
      </w:r>
    </w:p>
    <w:p w14:paraId="0246D67E" w14:textId="5350B256" w:rsidR="00EE7227" w:rsidRDefault="00664958" w:rsidP="00664958">
      <w:pPr>
        <w:rPr>
          <w:rFonts w:ascii="Garamond" w:hAnsi="Garamond"/>
          <w:bCs/>
        </w:rPr>
      </w:pPr>
      <w:r w:rsidRPr="00664958">
        <w:rPr>
          <w:rFonts w:ascii="Garamond" w:hAnsi="Garamond"/>
          <w:bCs/>
        </w:rPr>
        <w:br/>
        <w:t xml:space="preserve">Responsabilidades de la entidad aportante </w:t>
      </w:r>
      <w:r w:rsidR="00F323CB">
        <w:rPr>
          <w:rFonts w:ascii="Garamond" w:hAnsi="Garamond"/>
          <w:bCs/>
        </w:rPr>
        <w:t>FDLM</w:t>
      </w:r>
      <w:r w:rsidRPr="00664958">
        <w:rPr>
          <w:rFonts w:ascii="Garamond" w:hAnsi="Garamond"/>
          <w:bCs/>
        </w:rPr>
        <w:t>:</w:t>
      </w:r>
    </w:p>
    <w:p w14:paraId="64B9D663" w14:textId="77777777" w:rsidR="00EE7227" w:rsidRDefault="00664958" w:rsidP="00664958">
      <w:pPr>
        <w:rPr>
          <w:rFonts w:ascii="Garamond" w:hAnsi="Garamond"/>
          <w:bCs/>
        </w:rPr>
      </w:pPr>
      <w:r w:rsidRPr="00664958">
        <w:rPr>
          <w:rFonts w:ascii="Garamond" w:hAnsi="Garamond"/>
          <w:bCs/>
        </w:rPr>
        <w:br/>
        <w:t>a.</w:t>
      </w:r>
      <w:r w:rsidRPr="00664958">
        <w:rPr>
          <w:rFonts w:ascii="Garamond" w:hAnsi="Garamond"/>
          <w:bCs/>
        </w:rPr>
        <w:t> </w:t>
      </w:r>
      <w:r w:rsidRPr="00664958">
        <w:rPr>
          <w:rFonts w:ascii="Garamond" w:hAnsi="Garamond"/>
          <w:bCs/>
        </w:rPr>
        <w:t> </w:t>
      </w:r>
      <w:r w:rsidRPr="00664958">
        <w:rPr>
          <w:rFonts w:ascii="Garamond" w:hAnsi="Garamond"/>
          <w:bCs/>
        </w:rPr>
        <w:t>Expedir el Certificado de Disponibilidad Presupuestal -CDP, previo a la firma del convenio interadministrativo por las partes, hasta por el monto del compromiso a adquirir.</w:t>
      </w:r>
    </w:p>
    <w:p w14:paraId="08A189E2" w14:textId="77777777" w:rsidR="00EE7227" w:rsidRDefault="00664958" w:rsidP="00664958">
      <w:pPr>
        <w:rPr>
          <w:rFonts w:ascii="Garamond" w:hAnsi="Garamond"/>
          <w:bCs/>
        </w:rPr>
      </w:pPr>
      <w:r w:rsidRPr="00664958">
        <w:rPr>
          <w:rFonts w:ascii="Garamond" w:hAnsi="Garamond"/>
          <w:bCs/>
        </w:rPr>
        <w:br/>
        <w:t>b.</w:t>
      </w:r>
      <w:r w:rsidRPr="00664958">
        <w:rPr>
          <w:rFonts w:ascii="Garamond" w:hAnsi="Garamond"/>
          <w:bCs/>
        </w:rPr>
        <w:t> </w:t>
      </w:r>
      <w:r w:rsidRPr="00664958">
        <w:rPr>
          <w:rFonts w:ascii="Garamond" w:hAnsi="Garamond"/>
          <w:bCs/>
        </w:rPr>
        <w:t> </w:t>
      </w:r>
      <w:r w:rsidRPr="00664958">
        <w:rPr>
          <w:rFonts w:ascii="Garamond" w:hAnsi="Garamond"/>
          <w:bCs/>
        </w:rPr>
        <w:t>Expedir el Certificado de Registro Presupuestal (CRP), como legalización del convenio interadministrativo.</w:t>
      </w:r>
    </w:p>
    <w:p w14:paraId="433AC014" w14:textId="486292AB" w:rsidR="00664958" w:rsidRPr="00664958" w:rsidRDefault="00664958" w:rsidP="00664958">
      <w:pPr>
        <w:rPr>
          <w:rFonts w:ascii="Garamond" w:hAnsi="Garamond"/>
          <w:bCs/>
        </w:rPr>
      </w:pPr>
      <w:r w:rsidRPr="00664958">
        <w:rPr>
          <w:rFonts w:ascii="Garamond" w:hAnsi="Garamond"/>
          <w:bCs/>
        </w:rPr>
        <w:br/>
        <w:t>c.</w:t>
      </w:r>
      <w:r w:rsidRPr="00664958">
        <w:rPr>
          <w:rFonts w:ascii="Garamond" w:hAnsi="Garamond"/>
          <w:bCs/>
        </w:rPr>
        <w:t> </w:t>
      </w:r>
      <w:r w:rsidRPr="00664958">
        <w:rPr>
          <w:rFonts w:ascii="Garamond" w:hAnsi="Garamond"/>
          <w:bCs/>
        </w:rPr>
        <w:t> </w:t>
      </w:r>
      <w:r w:rsidRPr="00664958">
        <w:rPr>
          <w:rFonts w:ascii="Garamond" w:hAnsi="Garamond"/>
          <w:bCs/>
        </w:rPr>
        <w:t>Ordenar los giros pactados en el convenio interadministrativo, a través de orden de pago sin situación de fondos (SSF), la cual tendrá como beneficiaria a la entidad receptora (UAERMV) previo Ajuste por Suscripción de Convenios o Contratos entre Entidades Distritales por parte de la UAERMV, este procedimiento deberá realizarse de acuerdo con lo establecido en la Circular No. 07 de 2024 de la Secretaría Distrital de Hacienda o en sus modificaciones, por medio de la cual se actualizan los lineamientos para el registro en el sistema de Operación Financiera SAP/</w:t>
      </w:r>
      <w:proofErr w:type="spellStart"/>
      <w:r w:rsidRPr="00664958">
        <w:rPr>
          <w:rFonts w:ascii="Garamond" w:hAnsi="Garamond"/>
          <w:bCs/>
        </w:rPr>
        <w:t>BogData</w:t>
      </w:r>
      <w:proofErr w:type="spellEnd"/>
      <w:r w:rsidRPr="00664958">
        <w:rPr>
          <w:rFonts w:ascii="Garamond" w:hAnsi="Garamond"/>
          <w:bCs/>
        </w:rPr>
        <w:t xml:space="preserve"> de operaciones sin situación de fondos, el FDL - Entidad aportante- debe remitir oficio de solicitud de la programación de la operación sin situación de fondos (SSF) celebrado entre el FDL y la UAERMV, dirigido al jefe de la oficina de gestión de pagos de la Dirección Distrital de Tesorería a través del correo de radicación virtual radicacionhaciendabogota@shd.gov.co con copia al correo pagos@shd.gov.co. Dicho oficio debe ser suscrito por los ordenadores del gasto y responsables del presupuesto de los FDL y la UAERMV. Por último, el FDL debe enviar a la UAERMV el soporte del giro de los recursos sin situación de fondos, generado por el aplicativo de la Secretaría de Hacienda — Tesorería Distrital.</w:t>
      </w:r>
    </w:p>
    <w:p w14:paraId="3FE79057" w14:textId="77777777" w:rsidR="00664958" w:rsidRPr="00664958" w:rsidRDefault="00664958" w:rsidP="00664958">
      <w:pPr>
        <w:rPr>
          <w:rFonts w:ascii="Garamond" w:hAnsi="Garamond"/>
          <w:bCs/>
        </w:rPr>
      </w:pPr>
      <w:r w:rsidRPr="00664958">
        <w:rPr>
          <w:rFonts w:ascii="Garamond" w:hAnsi="Garamond"/>
          <w:bCs/>
        </w:rPr>
        <w:t> </w:t>
      </w:r>
    </w:p>
    <w:p w14:paraId="25567463" w14:textId="77777777" w:rsidR="00EE7227" w:rsidRDefault="00664958" w:rsidP="00664958">
      <w:pPr>
        <w:rPr>
          <w:rFonts w:ascii="Garamond" w:hAnsi="Garamond"/>
          <w:bCs/>
        </w:rPr>
      </w:pPr>
      <w:r w:rsidRPr="00664958">
        <w:rPr>
          <w:rFonts w:ascii="Garamond" w:hAnsi="Garamond"/>
          <w:bCs/>
        </w:rPr>
        <w:t>Responsabilidades de la entidad receptora UAERMV:</w:t>
      </w:r>
    </w:p>
    <w:p w14:paraId="3DAB7AAF" w14:textId="77777777" w:rsidR="00EE7227" w:rsidRDefault="00664958" w:rsidP="00664958">
      <w:pPr>
        <w:rPr>
          <w:rFonts w:ascii="Garamond" w:hAnsi="Garamond"/>
          <w:bCs/>
        </w:rPr>
      </w:pPr>
      <w:r w:rsidRPr="00664958">
        <w:rPr>
          <w:rFonts w:ascii="Garamond" w:hAnsi="Garamond"/>
          <w:bCs/>
        </w:rPr>
        <w:br/>
        <w:t>a.</w:t>
      </w:r>
      <w:r w:rsidRPr="00664958">
        <w:rPr>
          <w:rFonts w:ascii="Garamond" w:hAnsi="Garamond"/>
          <w:bCs/>
        </w:rPr>
        <w:t> </w:t>
      </w:r>
      <w:r w:rsidRPr="00664958">
        <w:rPr>
          <w:rFonts w:ascii="Garamond" w:hAnsi="Garamond"/>
          <w:bCs/>
        </w:rPr>
        <w:t> </w:t>
      </w:r>
      <w:r w:rsidRPr="00664958">
        <w:rPr>
          <w:rFonts w:ascii="Garamond" w:hAnsi="Garamond"/>
          <w:bCs/>
        </w:rPr>
        <w:t>Una vez perfeccionado el convenio interadministrativo, y si el mismo aumenta la apropiación de los proyectos de inversión, solicitar concepto favorable a la Secretaría Distrital de Planeación, a la luz de los proyectos formulados y de las metas y objetivos que se reformulen para dar cumplimiento al objeto del convenio.</w:t>
      </w:r>
    </w:p>
    <w:p w14:paraId="510622EF" w14:textId="77777777" w:rsidR="00EE7227" w:rsidRDefault="00664958" w:rsidP="00664958">
      <w:pPr>
        <w:rPr>
          <w:rFonts w:ascii="Garamond" w:hAnsi="Garamond"/>
          <w:bCs/>
        </w:rPr>
      </w:pPr>
      <w:r w:rsidRPr="00664958">
        <w:rPr>
          <w:rFonts w:ascii="Garamond" w:hAnsi="Garamond"/>
          <w:bCs/>
        </w:rPr>
        <w:br/>
        <w:t>b.</w:t>
      </w:r>
      <w:r w:rsidRPr="00664958">
        <w:rPr>
          <w:rFonts w:ascii="Garamond" w:hAnsi="Garamond"/>
          <w:bCs/>
        </w:rPr>
        <w:t> </w:t>
      </w:r>
      <w:r w:rsidRPr="00664958">
        <w:rPr>
          <w:rFonts w:ascii="Garamond" w:hAnsi="Garamond"/>
          <w:bCs/>
        </w:rPr>
        <w:t> </w:t>
      </w:r>
      <w:r w:rsidRPr="00664958">
        <w:rPr>
          <w:rFonts w:ascii="Garamond" w:hAnsi="Garamond"/>
          <w:bCs/>
        </w:rPr>
        <w:t>Elaborar el acto administrativo mediante el cual se efectúa el ajuste en el Presupuesto de Gastos, por el monto que recibe de la entidad aportante, y lo presenta para su aprobación y firma al Representante Legal de la entidad.</w:t>
      </w:r>
    </w:p>
    <w:p w14:paraId="2034E991" w14:textId="77777777" w:rsidR="00EE7227" w:rsidRDefault="00664958" w:rsidP="00664958">
      <w:pPr>
        <w:rPr>
          <w:rFonts w:ascii="Garamond" w:hAnsi="Garamond"/>
          <w:bCs/>
        </w:rPr>
      </w:pPr>
      <w:r w:rsidRPr="00664958">
        <w:rPr>
          <w:rFonts w:ascii="Garamond" w:hAnsi="Garamond"/>
          <w:bCs/>
        </w:rPr>
        <w:br/>
        <w:t>c.</w:t>
      </w:r>
      <w:r w:rsidRPr="00664958">
        <w:rPr>
          <w:rFonts w:ascii="Garamond" w:hAnsi="Garamond"/>
          <w:bCs/>
        </w:rPr>
        <w:t> </w:t>
      </w:r>
      <w:r w:rsidRPr="00664958">
        <w:rPr>
          <w:rFonts w:ascii="Garamond" w:hAnsi="Garamond"/>
          <w:bCs/>
        </w:rPr>
        <w:t> </w:t>
      </w:r>
      <w:r w:rsidRPr="00664958">
        <w:rPr>
          <w:rFonts w:ascii="Garamond" w:hAnsi="Garamond"/>
          <w:bCs/>
        </w:rPr>
        <w:t xml:space="preserve">Solicitar a la </w:t>
      </w:r>
      <w:proofErr w:type="gramStart"/>
      <w:r w:rsidRPr="00664958">
        <w:rPr>
          <w:rFonts w:ascii="Garamond" w:hAnsi="Garamond"/>
          <w:bCs/>
        </w:rPr>
        <w:t>Secretaria</w:t>
      </w:r>
      <w:proofErr w:type="gramEnd"/>
      <w:r w:rsidRPr="00664958">
        <w:rPr>
          <w:rFonts w:ascii="Garamond" w:hAnsi="Garamond"/>
          <w:bCs/>
        </w:rPr>
        <w:t xml:space="preserve"> Distrital de Hacienda - Dirección Distrital de Presupuesto aprobación de la operación presupuestal contenida en el acto administrativo, el cual debe estar firmado por el Representante Legal; para ello, anexará la documentación que soporta dicha operación.</w:t>
      </w:r>
      <w:r w:rsidRPr="00664958">
        <w:rPr>
          <w:rFonts w:ascii="Garamond" w:hAnsi="Garamond"/>
          <w:bCs/>
        </w:rPr>
        <w:br/>
        <w:t>Requisitos para efectuar un Ajuste por Suscripción de Convenios o Contratos entre Entidades Distritales:</w:t>
      </w:r>
    </w:p>
    <w:p w14:paraId="5B010A88" w14:textId="77777777" w:rsidR="005109ED" w:rsidRDefault="00664958" w:rsidP="00EE7227">
      <w:pPr>
        <w:ind w:left="709"/>
        <w:rPr>
          <w:rFonts w:ascii="Garamond" w:hAnsi="Garamond"/>
          <w:bCs/>
        </w:rPr>
      </w:pPr>
      <w:r w:rsidRPr="00664958">
        <w:rPr>
          <w:rFonts w:ascii="Garamond" w:hAnsi="Garamond"/>
          <w:bCs/>
        </w:rPr>
        <w:br/>
        <w:t>a.</w:t>
      </w:r>
      <w:r w:rsidRPr="00664958">
        <w:rPr>
          <w:rFonts w:ascii="Garamond" w:hAnsi="Garamond"/>
          <w:bCs/>
        </w:rPr>
        <w:t> </w:t>
      </w:r>
      <w:r w:rsidRPr="00664958">
        <w:rPr>
          <w:rFonts w:ascii="Garamond" w:hAnsi="Garamond"/>
          <w:bCs/>
        </w:rPr>
        <w:t> </w:t>
      </w:r>
      <w:r w:rsidRPr="00664958">
        <w:rPr>
          <w:rFonts w:ascii="Garamond" w:hAnsi="Garamond"/>
          <w:bCs/>
        </w:rPr>
        <w:t>Solicitud formal y justificación técnica y económica, firmadas por el Representante Legal de la entidad receptora (UAERMV), la cual debe contener entre otros aspectos, la imputación presupuestal de gastos, descripción del rubro que se va a adicionar, monto del ajuste presupuestal y fuente de financiación, que igualmente debe especificarse en el clausulado del convenio interadministrativo.</w:t>
      </w:r>
    </w:p>
    <w:p w14:paraId="146AFC8F" w14:textId="77777777" w:rsidR="005109ED" w:rsidRDefault="00664958" w:rsidP="00EE7227">
      <w:pPr>
        <w:ind w:left="709"/>
        <w:rPr>
          <w:rFonts w:ascii="Garamond" w:hAnsi="Garamond"/>
          <w:bCs/>
        </w:rPr>
      </w:pPr>
      <w:r w:rsidRPr="00664958">
        <w:rPr>
          <w:rFonts w:ascii="Garamond" w:hAnsi="Garamond"/>
          <w:bCs/>
        </w:rPr>
        <w:br/>
        <w:t>b.</w:t>
      </w:r>
      <w:r w:rsidRPr="00664958">
        <w:rPr>
          <w:rFonts w:ascii="Garamond" w:hAnsi="Garamond"/>
          <w:bCs/>
        </w:rPr>
        <w:t> </w:t>
      </w:r>
      <w:r w:rsidRPr="00664958">
        <w:rPr>
          <w:rFonts w:ascii="Garamond" w:hAnsi="Garamond"/>
          <w:bCs/>
        </w:rPr>
        <w:t> </w:t>
      </w:r>
      <w:r w:rsidRPr="00664958">
        <w:rPr>
          <w:rFonts w:ascii="Garamond" w:hAnsi="Garamond"/>
          <w:bCs/>
        </w:rPr>
        <w:t>Copia del convenio interadministrativo debidamente firmado por las partes.</w:t>
      </w:r>
    </w:p>
    <w:p w14:paraId="127D1D5B" w14:textId="1290930B" w:rsidR="005109ED" w:rsidRDefault="00664958" w:rsidP="00EE7227">
      <w:pPr>
        <w:ind w:left="709"/>
        <w:rPr>
          <w:rFonts w:ascii="Garamond" w:hAnsi="Garamond"/>
          <w:bCs/>
        </w:rPr>
      </w:pPr>
      <w:r w:rsidRPr="00664958">
        <w:rPr>
          <w:rFonts w:ascii="Garamond" w:hAnsi="Garamond"/>
          <w:bCs/>
        </w:rPr>
        <w:lastRenderedPageBreak/>
        <w:br/>
        <w:t>c.</w:t>
      </w:r>
      <w:r w:rsidRPr="00664958">
        <w:rPr>
          <w:rFonts w:ascii="Garamond" w:hAnsi="Garamond"/>
          <w:bCs/>
        </w:rPr>
        <w:t> </w:t>
      </w:r>
      <w:r w:rsidRPr="00664958">
        <w:rPr>
          <w:rFonts w:ascii="Garamond" w:hAnsi="Garamond"/>
          <w:bCs/>
        </w:rPr>
        <w:t> </w:t>
      </w:r>
      <w:r w:rsidRPr="00664958">
        <w:rPr>
          <w:rFonts w:ascii="Garamond" w:hAnsi="Garamond"/>
          <w:bCs/>
        </w:rPr>
        <w:t xml:space="preserve">Copia del certificado de disponibilidad presupuestal y certificado de registro presupuestal expedidos por </w:t>
      </w:r>
      <w:r w:rsidR="005109ED">
        <w:rPr>
          <w:rFonts w:ascii="Garamond" w:hAnsi="Garamond"/>
          <w:bCs/>
        </w:rPr>
        <w:t xml:space="preserve">el </w:t>
      </w:r>
      <w:r w:rsidR="00F323CB">
        <w:rPr>
          <w:rFonts w:ascii="Garamond" w:hAnsi="Garamond"/>
          <w:bCs/>
        </w:rPr>
        <w:t>FDLM</w:t>
      </w:r>
      <w:r w:rsidRPr="00664958">
        <w:rPr>
          <w:rFonts w:ascii="Garamond" w:hAnsi="Garamond"/>
          <w:bCs/>
        </w:rPr>
        <w:t>.</w:t>
      </w:r>
    </w:p>
    <w:p w14:paraId="1CEFA769" w14:textId="77777777" w:rsidR="005109ED" w:rsidRDefault="00664958" w:rsidP="00EE7227">
      <w:pPr>
        <w:ind w:left="709"/>
        <w:rPr>
          <w:rFonts w:ascii="Garamond" w:hAnsi="Garamond"/>
          <w:bCs/>
        </w:rPr>
      </w:pPr>
      <w:r w:rsidRPr="00664958">
        <w:rPr>
          <w:rFonts w:ascii="Garamond" w:hAnsi="Garamond"/>
          <w:bCs/>
        </w:rPr>
        <w:br/>
        <w:t>d.</w:t>
      </w:r>
      <w:r w:rsidRPr="00664958">
        <w:rPr>
          <w:rFonts w:ascii="Garamond" w:hAnsi="Garamond"/>
          <w:bCs/>
        </w:rPr>
        <w:t> </w:t>
      </w:r>
      <w:r w:rsidRPr="00664958">
        <w:rPr>
          <w:rFonts w:ascii="Garamond" w:hAnsi="Garamond"/>
          <w:bCs/>
        </w:rPr>
        <w:t> </w:t>
      </w:r>
      <w:r w:rsidRPr="00664958">
        <w:rPr>
          <w:rFonts w:ascii="Garamond" w:hAnsi="Garamond"/>
          <w:bCs/>
        </w:rPr>
        <w:t>Concepto previo favorable expedido por la Secretaría Distrital de Planeación, cuando corresponda a proyectos de inversión.</w:t>
      </w:r>
    </w:p>
    <w:p w14:paraId="3199219D" w14:textId="79ADD5CA" w:rsidR="00664958" w:rsidRPr="00664958" w:rsidRDefault="00664958" w:rsidP="00EE7227">
      <w:pPr>
        <w:ind w:left="709"/>
        <w:rPr>
          <w:rFonts w:ascii="Garamond" w:hAnsi="Garamond"/>
          <w:bCs/>
        </w:rPr>
      </w:pPr>
      <w:r w:rsidRPr="00664958">
        <w:rPr>
          <w:rFonts w:ascii="Garamond" w:hAnsi="Garamond"/>
          <w:bCs/>
        </w:rPr>
        <w:br/>
        <w:t>e.</w:t>
      </w:r>
      <w:r w:rsidRPr="00664958">
        <w:rPr>
          <w:rFonts w:ascii="Garamond" w:hAnsi="Garamond"/>
          <w:bCs/>
        </w:rPr>
        <w:t> </w:t>
      </w:r>
      <w:r w:rsidRPr="00664958">
        <w:rPr>
          <w:rFonts w:ascii="Garamond" w:hAnsi="Garamond"/>
          <w:bCs/>
        </w:rPr>
        <w:t> </w:t>
      </w:r>
      <w:r w:rsidRPr="00664958">
        <w:rPr>
          <w:rFonts w:ascii="Garamond" w:hAnsi="Garamond"/>
          <w:bCs/>
        </w:rPr>
        <w:t>Acto Administrativo firmado por el Representante Legal.</w:t>
      </w:r>
    </w:p>
    <w:p w14:paraId="689BCA77" w14:textId="77777777" w:rsidR="005109ED" w:rsidRDefault="005109ED" w:rsidP="00E90D2A">
      <w:pPr>
        <w:rPr>
          <w:rFonts w:ascii="Garamond" w:hAnsi="Garamond"/>
          <w:bCs/>
        </w:rPr>
      </w:pPr>
      <w:r>
        <w:rPr>
          <w:rFonts w:ascii="Garamond" w:hAnsi="Garamond"/>
          <w:bCs/>
        </w:rPr>
        <w:t>De igual manera es importante tener en cuenta que con base en el articulo 47 del decreto 192 del 2021, l</w:t>
      </w:r>
      <w:r w:rsidRPr="005109ED">
        <w:rPr>
          <w:rFonts w:ascii="Garamond" w:hAnsi="Garamond"/>
          <w:bCs/>
        </w:rPr>
        <w:t>os rendimientos generados en la administración de recursos de convenios interadministrativos suscritos entre Fondos de Desarrollo Local y entidades privadas o entidades del Sector Descentralizado del nivel distrital, pertenece a los respectivos Fondos de Desarrollo Local en lo que corresponde a su aporte y, en consecuencia, se incluirán como rendimientos del Fondo de Desarrollo Local.</w:t>
      </w:r>
    </w:p>
    <w:p w14:paraId="521D1BA7" w14:textId="3BB33842" w:rsidR="00664958" w:rsidRDefault="005109ED" w:rsidP="00E90D2A">
      <w:pPr>
        <w:rPr>
          <w:rFonts w:ascii="Garamond" w:hAnsi="Garamond"/>
          <w:bCs/>
        </w:rPr>
      </w:pPr>
      <w:r w:rsidRPr="005109ED">
        <w:rPr>
          <w:rFonts w:ascii="Garamond" w:hAnsi="Garamond"/>
          <w:bCs/>
        </w:rPr>
        <w:t>Los rendimientos de que trata el presente artículo deben ser liquidados mensualmente, sin perjuicio de que el régimen de inversiones permita plazos mayores, y consignados por las entidades receptoras en la Dirección Distrital de Tesorería dentro de los tres (3) días hábiles siguientes a la fecha de su liquidación, plazo que se contará desde la fecha en que la entidad financiera responsable de dicha liquidación entregue el extracto físico o electrónico confirmatorio de la liquidación.</w:t>
      </w:r>
    </w:p>
    <w:p w14:paraId="70460E36" w14:textId="7CBE41D3" w:rsidR="00E90D2A" w:rsidRDefault="005109ED" w:rsidP="00E90D2A">
      <w:pPr>
        <w:rPr>
          <w:rFonts w:ascii="Garamond" w:hAnsi="Garamond"/>
          <w:bCs/>
        </w:rPr>
      </w:pPr>
      <w:r>
        <w:rPr>
          <w:rFonts w:ascii="Garamond" w:hAnsi="Garamond"/>
          <w:bCs/>
        </w:rPr>
        <w:t>Ahora bien</w:t>
      </w:r>
      <w:r w:rsidR="00E90D2A">
        <w:rPr>
          <w:rFonts w:ascii="Garamond" w:hAnsi="Garamond"/>
          <w:bCs/>
        </w:rPr>
        <w:t>, es necesario precisar que el valor está sujeto al agotamiento del techo presupuestal definido. Teniendo en cuenta lo anterior, se precisa que el valor corresponde a una bolsa que será objeto de legalización por parte de la UAERMV con las actas de avances de obra por segmento.</w:t>
      </w:r>
    </w:p>
    <w:tbl>
      <w:tblPr>
        <w:tblW w:w="8857" w:type="dxa"/>
        <w:tblCellMar>
          <w:left w:w="70" w:type="dxa"/>
          <w:right w:w="70" w:type="dxa"/>
        </w:tblCellMar>
        <w:tblLook w:val="04A0" w:firstRow="1" w:lastRow="0" w:firstColumn="1" w:lastColumn="0" w:noHBand="0" w:noVBand="1"/>
      </w:tblPr>
      <w:tblGrid>
        <w:gridCol w:w="2827"/>
        <w:gridCol w:w="2827"/>
        <w:gridCol w:w="3203"/>
      </w:tblGrid>
      <w:tr w:rsidR="00E90D2A" w:rsidRPr="004F60E7" w14:paraId="472F9A85" w14:textId="77777777" w:rsidTr="00A94AA6">
        <w:trPr>
          <w:trHeight w:val="300"/>
        </w:trPr>
        <w:tc>
          <w:tcPr>
            <w:tcW w:w="2827" w:type="dxa"/>
            <w:tcBorders>
              <w:top w:val="single" w:sz="8" w:space="0" w:color="auto"/>
              <w:left w:val="single" w:sz="8" w:space="0" w:color="auto"/>
              <w:bottom w:val="single" w:sz="8" w:space="0" w:color="auto"/>
              <w:right w:val="single" w:sz="8" w:space="0" w:color="000000"/>
            </w:tcBorders>
            <w:shd w:val="clear" w:color="000000" w:fill="548235"/>
            <w:vAlign w:val="center"/>
            <w:hideMark/>
          </w:tcPr>
          <w:p w14:paraId="4A9C1624" w14:textId="77777777" w:rsidR="00E90D2A" w:rsidRPr="004F60E7" w:rsidRDefault="00E90D2A" w:rsidP="00A94AA6">
            <w:pPr>
              <w:spacing w:after="0" w:line="240" w:lineRule="auto"/>
              <w:jc w:val="center"/>
              <w:rPr>
                <w:rFonts w:ascii="Arial Narrow" w:hAnsi="Arial Narrow" w:cs="Calibri"/>
                <w:b/>
                <w:bCs/>
                <w:color w:val="FFFFFF"/>
                <w:sz w:val="14"/>
                <w:szCs w:val="14"/>
              </w:rPr>
            </w:pPr>
            <w:r w:rsidRPr="004F60E7">
              <w:rPr>
                <w:rFonts w:ascii="Arial Narrow" w:hAnsi="Arial Narrow" w:cs="Calibri"/>
                <w:b/>
                <w:bCs/>
                <w:color w:val="FFFFFF"/>
                <w:sz w:val="14"/>
                <w:szCs w:val="14"/>
              </w:rPr>
              <w:t>BOLSA EJECUCIÓN</w:t>
            </w:r>
          </w:p>
        </w:tc>
        <w:tc>
          <w:tcPr>
            <w:tcW w:w="2827" w:type="dxa"/>
            <w:tcBorders>
              <w:top w:val="single" w:sz="8" w:space="0" w:color="auto"/>
              <w:left w:val="nil"/>
              <w:bottom w:val="single" w:sz="8" w:space="0" w:color="auto"/>
              <w:right w:val="single" w:sz="8" w:space="0" w:color="000000"/>
            </w:tcBorders>
            <w:shd w:val="clear" w:color="000000" w:fill="548235"/>
            <w:vAlign w:val="center"/>
            <w:hideMark/>
          </w:tcPr>
          <w:p w14:paraId="610A4BE7" w14:textId="77777777" w:rsidR="00E90D2A" w:rsidRPr="004F60E7" w:rsidRDefault="00E90D2A" w:rsidP="00A94AA6">
            <w:pPr>
              <w:spacing w:after="0" w:line="240" w:lineRule="auto"/>
              <w:jc w:val="center"/>
              <w:rPr>
                <w:rFonts w:ascii="Arial Narrow" w:hAnsi="Arial Narrow" w:cs="Calibri"/>
                <w:b/>
                <w:bCs/>
                <w:color w:val="FFFFFF"/>
                <w:sz w:val="14"/>
                <w:szCs w:val="14"/>
              </w:rPr>
            </w:pPr>
            <w:r w:rsidRPr="004F60E7">
              <w:rPr>
                <w:rFonts w:ascii="Arial Narrow" w:hAnsi="Arial Narrow" w:cs="Calibri"/>
                <w:b/>
                <w:bCs/>
                <w:color w:val="FFFFFF"/>
                <w:sz w:val="14"/>
                <w:szCs w:val="14"/>
              </w:rPr>
              <w:t>BOLSA IMPREVISTOS</w:t>
            </w:r>
          </w:p>
        </w:tc>
        <w:tc>
          <w:tcPr>
            <w:tcW w:w="3203" w:type="dxa"/>
            <w:tcBorders>
              <w:top w:val="single" w:sz="8" w:space="0" w:color="auto"/>
              <w:left w:val="nil"/>
              <w:bottom w:val="nil"/>
              <w:right w:val="single" w:sz="8" w:space="0" w:color="auto"/>
            </w:tcBorders>
            <w:shd w:val="clear" w:color="000000" w:fill="1F4E78"/>
            <w:vAlign w:val="center"/>
            <w:hideMark/>
          </w:tcPr>
          <w:p w14:paraId="630EBB2D" w14:textId="77777777" w:rsidR="00E90D2A" w:rsidRPr="004F60E7" w:rsidRDefault="00E90D2A" w:rsidP="00A94AA6">
            <w:pPr>
              <w:spacing w:after="0" w:line="240" w:lineRule="auto"/>
              <w:jc w:val="center"/>
              <w:rPr>
                <w:rFonts w:ascii="Arial Narrow" w:hAnsi="Arial Narrow" w:cs="Calibri"/>
                <w:b/>
                <w:bCs/>
                <w:color w:val="FFFFFF"/>
                <w:sz w:val="14"/>
                <w:szCs w:val="14"/>
              </w:rPr>
            </w:pPr>
            <w:r w:rsidRPr="004F60E7">
              <w:rPr>
                <w:rFonts w:ascii="Arial Narrow" w:hAnsi="Arial Narrow" w:cs="Calibri"/>
                <w:b/>
                <w:bCs/>
                <w:color w:val="FFFFFF"/>
                <w:sz w:val="14"/>
                <w:szCs w:val="14"/>
              </w:rPr>
              <w:t>VALOR TOTAL CONVENIO</w:t>
            </w:r>
          </w:p>
        </w:tc>
      </w:tr>
      <w:tr w:rsidR="00E90D2A" w:rsidRPr="004F60E7" w14:paraId="099F0A17" w14:textId="77777777" w:rsidTr="00A94AA6">
        <w:trPr>
          <w:trHeight w:val="300"/>
        </w:trPr>
        <w:tc>
          <w:tcPr>
            <w:tcW w:w="2827" w:type="dxa"/>
            <w:tcBorders>
              <w:top w:val="single" w:sz="8" w:space="0" w:color="auto"/>
              <w:left w:val="single" w:sz="8" w:space="0" w:color="auto"/>
              <w:bottom w:val="single" w:sz="8" w:space="0" w:color="auto"/>
              <w:right w:val="single" w:sz="8" w:space="0" w:color="000000"/>
            </w:tcBorders>
            <w:noWrap/>
            <w:vAlign w:val="bottom"/>
            <w:hideMark/>
          </w:tcPr>
          <w:p w14:paraId="0847ACBF" w14:textId="459AB7D3" w:rsidR="00E90D2A" w:rsidRPr="004F60E7" w:rsidRDefault="00380A04" w:rsidP="00A94AA6">
            <w:pPr>
              <w:spacing w:after="0" w:line="240" w:lineRule="auto"/>
              <w:jc w:val="center"/>
              <w:rPr>
                <w:rFonts w:ascii="Times New Roman" w:hAnsi="Times New Roman"/>
                <w:color w:val="000000"/>
                <w:szCs w:val="20"/>
              </w:rPr>
            </w:pPr>
            <w:r>
              <w:rPr>
                <w:rFonts w:ascii="Times New Roman" w:hAnsi="Times New Roman"/>
                <w:color w:val="000000"/>
                <w:szCs w:val="20"/>
              </w:rPr>
              <w:t>88</w:t>
            </w:r>
            <w:r w:rsidR="00E90D2A">
              <w:rPr>
                <w:rFonts w:ascii="Times New Roman" w:hAnsi="Times New Roman"/>
                <w:color w:val="000000"/>
                <w:szCs w:val="20"/>
              </w:rPr>
              <w:t>%</w:t>
            </w:r>
          </w:p>
        </w:tc>
        <w:tc>
          <w:tcPr>
            <w:tcW w:w="2827" w:type="dxa"/>
            <w:tcBorders>
              <w:top w:val="single" w:sz="8" w:space="0" w:color="auto"/>
              <w:left w:val="nil"/>
              <w:bottom w:val="single" w:sz="8" w:space="0" w:color="auto"/>
              <w:right w:val="single" w:sz="8" w:space="0" w:color="000000"/>
            </w:tcBorders>
            <w:noWrap/>
            <w:vAlign w:val="bottom"/>
            <w:hideMark/>
          </w:tcPr>
          <w:p w14:paraId="40BAD95A" w14:textId="7B028D95" w:rsidR="00E90D2A" w:rsidRPr="004F60E7" w:rsidRDefault="00E90D2A" w:rsidP="00A94AA6">
            <w:pPr>
              <w:spacing w:after="0" w:line="240" w:lineRule="auto"/>
              <w:jc w:val="center"/>
              <w:rPr>
                <w:rFonts w:ascii="Times New Roman" w:hAnsi="Times New Roman"/>
                <w:color w:val="000000"/>
                <w:szCs w:val="20"/>
              </w:rPr>
            </w:pPr>
            <w:r>
              <w:rPr>
                <w:rFonts w:ascii="Times New Roman" w:hAnsi="Times New Roman"/>
                <w:color w:val="000000"/>
                <w:szCs w:val="20"/>
              </w:rPr>
              <w:t>1</w:t>
            </w:r>
            <w:r w:rsidR="00380A04">
              <w:rPr>
                <w:rFonts w:ascii="Times New Roman" w:hAnsi="Times New Roman"/>
                <w:color w:val="000000"/>
                <w:szCs w:val="20"/>
              </w:rPr>
              <w:t>2</w:t>
            </w:r>
            <w:r>
              <w:rPr>
                <w:rFonts w:ascii="Times New Roman" w:hAnsi="Times New Roman"/>
                <w:color w:val="000000"/>
                <w:szCs w:val="20"/>
              </w:rPr>
              <w:t>%</w:t>
            </w:r>
          </w:p>
        </w:tc>
        <w:tc>
          <w:tcPr>
            <w:tcW w:w="3203" w:type="dxa"/>
            <w:tcBorders>
              <w:top w:val="single" w:sz="8" w:space="0" w:color="auto"/>
              <w:left w:val="nil"/>
              <w:bottom w:val="single" w:sz="8" w:space="0" w:color="auto"/>
              <w:right w:val="single" w:sz="8" w:space="0" w:color="auto"/>
            </w:tcBorders>
            <w:noWrap/>
            <w:vAlign w:val="bottom"/>
            <w:hideMark/>
          </w:tcPr>
          <w:p w14:paraId="5B3133DA" w14:textId="77777777" w:rsidR="00E90D2A" w:rsidRPr="004F60E7" w:rsidRDefault="00E90D2A" w:rsidP="00A94AA6">
            <w:pPr>
              <w:spacing w:after="0" w:line="240" w:lineRule="auto"/>
              <w:jc w:val="center"/>
              <w:rPr>
                <w:rFonts w:ascii="Times New Roman" w:hAnsi="Times New Roman"/>
                <w:color w:val="000000"/>
                <w:szCs w:val="20"/>
              </w:rPr>
            </w:pPr>
            <w:r>
              <w:rPr>
                <w:rFonts w:ascii="Times New Roman" w:hAnsi="Times New Roman"/>
                <w:color w:val="000000"/>
                <w:szCs w:val="20"/>
              </w:rPr>
              <w:t>100%</w:t>
            </w:r>
          </w:p>
        </w:tc>
      </w:tr>
    </w:tbl>
    <w:p w14:paraId="3552CA4E" w14:textId="77777777" w:rsidR="00E90D2A" w:rsidRDefault="00E90D2A" w:rsidP="00E90D2A">
      <w:pPr>
        <w:rPr>
          <w:rFonts w:ascii="Garamond" w:hAnsi="Garamond"/>
        </w:rPr>
      </w:pPr>
    </w:p>
    <w:p w14:paraId="4427E3C8" w14:textId="5EDA0F20" w:rsidR="00E90D2A" w:rsidRDefault="00E90D2A" w:rsidP="00E90D2A">
      <w:pPr>
        <w:pStyle w:val="Prrafodelista"/>
        <w:numPr>
          <w:ilvl w:val="0"/>
          <w:numId w:val="59"/>
        </w:numPr>
        <w:rPr>
          <w:rFonts w:ascii="Garamond" w:hAnsi="Garamond"/>
        </w:rPr>
      </w:pPr>
      <w:r w:rsidRPr="000B1D0D">
        <w:rPr>
          <w:rFonts w:ascii="Garamond" w:hAnsi="Garamond"/>
        </w:rPr>
        <w:t>La BOLSA DE IMPREVISTOS: corresponderá al 1</w:t>
      </w:r>
      <w:r w:rsidR="00380A04">
        <w:rPr>
          <w:rFonts w:ascii="Garamond" w:hAnsi="Garamond"/>
        </w:rPr>
        <w:t>2</w:t>
      </w:r>
      <w:r w:rsidRPr="000B1D0D">
        <w:rPr>
          <w:rFonts w:ascii="Garamond" w:hAnsi="Garamond"/>
        </w:rPr>
        <w:t xml:space="preserve">% del valor entregado por el </w:t>
      </w:r>
      <w:r w:rsidR="00F323CB">
        <w:rPr>
          <w:rFonts w:ascii="Garamond" w:hAnsi="Garamond"/>
        </w:rPr>
        <w:t>FDLM</w:t>
      </w:r>
      <w:r w:rsidRPr="000B1D0D">
        <w:rPr>
          <w:rFonts w:ascii="Garamond" w:hAnsi="Garamond"/>
        </w:rPr>
        <w:t xml:space="preserve"> y se legalizará en las actas de avance de obra mensual. Esta bolsa será destinada a los imprevistos por posibles reposiciones de redes de servicios públicos, o ampliación del alcance en los segmentos viales priorizados como “fijos”, resultado del diagnóstico definitivo realizado en campo. Si no surgen modificaciones presupuestales a las inicialmente pactadas en el Convenio, este monto de imprevistos será utilizado para la ejecución de los segmentos viales</w:t>
      </w:r>
    </w:p>
    <w:p w14:paraId="495A5A81" w14:textId="77777777" w:rsidR="00E90D2A" w:rsidRPr="00377867" w:rsidRDefault="00E90D2A" w:rsidP="00E90D2A">
      <w:pPr>
        <w:pStyle w:val="Prrafodelista"/>
        <w:numPr>
          <w:ilvl w:val="0"/>
          <w:numId w:val="59"/>
        </w:numPr>
        <w:rPr>
          <w:rFonts w:ascii="Garamond" w:hAnsi="Garamond"/>
          <w:bCs/>
        </w:rPr>
      </w:pPr>
      <w:r w:rsidRPr="00377867">
        <w:rPr>
          <w:rFonts w:ascii="Garamond" w:hAnsi="Garamond"/>
          <w:bCs/>
        </w:rPr>
        <w:t>En ese sentido y en armonía con los principios de transparencia y eficiencia, la UAERMV, ha presentado la tabla de costos por tipo de intervención que será la tarifa aplicable al convenio, así:</w:t>
      </w:r>
    </w:p>
    <w:p w14:paraId="2A4EE174" w14:textId="0DB1A450" w:rsidR="00E90D2A" w:rsidRPr="00B20F5A" w:rsidRDefault="00380A04" w:rsidP="00E90D2A">
      <w:pPr>
        <w:jc w:val="center"/>
        <w:rPr>
          <w:rFonts w:ascii="Garamond" w:hAnsi="Garamond"/>
          <w:b/>
          <w:bCs/>
          <w:color w:val="FF0000"/>
          <w:sz w:val="52"/>
          <w:szCs w:val="52"/>
        </w:rPr>
      </w:pPr>
      <w:r>
        <w:rPr>
          <w:noProof/>
        </w:rPr>
        <w:lastRenderedPageBreak/>
        <w:drawing>
          <wp:inline distT="0" distB="0" distL="0" distR="0" wp14:anchorId="72F953F8" wp14:editId="04A702EC">
            <wp:extent cx="5868670" cy="2882265"/>
            <wp:effectExtent l="0" t="0" r="0" b="0"/>
            <wp:docPr id="2023504470"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504470"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868670" cy="2882265"/>
                    </a:xfrm>
                    <a:prstGeom prst="rect">
                      <a:avLst/>
                    </a:prstGeom>
                  </pic:spPr>
                </pic:pic>
              </a:graphicData>
            </a:graphic>
          </wp:inline>
        </w:drawing>
      </w:r>
    </w:p>
    <w:p w14:paraId="2F2BE9C5" w14:textId="77777777" w:rsidR="00E90D2A" w:rsidRPr="009169F2" w:rsidRDefault="00E90D2A" w:rsidP="00E90D2A">
      <w:pPr>
        <w:pStyle w:val="Sinespaciado"/>
        <w:jc w:val="both"/>
        <w:rPr>
          <w:rFonts w:ascii="Garamond" w:hAnsi="Garamond"/>
          <w:lang w:eastAsia="es-ES"/>
        </w:rPr>
      </w:pPr>
      <w:r w:rsidRPr="00B20F5A">
        <w:rPr>
          <w:rFonts w:ascii="Garamond" w:hAnsi="Garamond"/>
          <w:b/>
          <w:bCs/>
          <w:lang w:eastAsia="es-ES"/>
        </w:rPr>
        <w:t>Nota 1</w:t>
      </w:r>
      <w:r>
        <w:rPr>
          <w:rFonts w:ascii="Garamond" w:hAnsi="Garamond"/>
          <w:lang w:eastAsia="es-ES"/>
        </w:rPr>
        <w:t xml:space="preserve">: </w:t>
      </w:r>
      <w:r w:rsidRPr="009169F2">
        <w:rPr>
          <w:rFonts w:ascii="Garamond" w:hAnsi="Garamond"/>
          <w:lang w:eastAsia="es-ES"/>
        </w:rPr>
        <w:t xml:space="preserve">En el evento en que se ejecuten actividades o valores </w:t>
      </w:r>
      <w:r>
        <w:rPr>
          <w:rFonts w:ascii="Garamond" w:hAnsi="Garamond"/>
          <w:lang w:eastAsia="es-ES"/>
        </w:rPr>
        <w:t xml:space="preserve">mayores </w:t>
      </w:r>
      <w:proofErr w:type="gramStart"/>
      <w:r>
        <w:rPr>
          <w:rFonts w:ascii="Garamond" w:hAnsi="Garamond"/>
          <w:lang w:eastAsia="es-ES"/>
        </w:rPr>
        <w:t>o  menores</w:t>
      </w:r>
      <w:proofErr w:type="gramEnd"/>
      <w:r w:rsidRPr="009169F2">
        <w:rPr>
          <w:rFonts w:ascii="Garamond" w:hAnsi="Garamond"/>
          <w:lang w:eastAsia="es-ES"/>
        </w:rPr>
        <w:t xml:space="preserve"> a los establecidos en la formulación del proyecto y en la propuesta de la UAERMV se cancelaran únicamente los valores ejecutados con soportes. </w:t>
      </w:r>
    </w:p>
    <w:p w14:paraId="42B4011C" w14:textId="77777777" w:rsidR="00E90D2A" w:rsidRDefault="00E90D2A" w:rsidP="00E90D2A">
      <w:pPr>
        <w:pStyle w:val="Sinespaciado"/>
        <w:jc w:val="both"/>
        <w:rPr>
          <w:rFonts w:ascii="Garamond" w:hAnsi="Garamond"/>
          <w:lang w:eastAsia="es-ES"/>
        </w:rPr>
      </w:pPr>
    </w:p>
    <w:p w14:paraId="0E9B6126" w14:textId="77777777" w:rsidR="00E90D2A" w:rsidRDefault="00E90D2A" w:rsidP="00E90D2A">
      <w:pPr>
        <w:pStyle w:val="Sinespaciado"/>
        <w:jc w:val="both"/>
        <w:rPr>
          <w:rFonts w:ascii="Garamond" w:hAnsi="Garamond"/>
          <w:lang w:eastAsia="es-ES"/>
        </w:rPr>
      </w:pPr>
      <w:r w:rsidRPr="00B20F5A">
        <w:rPr>
          <w:rFonts w:ascii="Garamond" w:hAnsi="Garamond"/>
          <w:b/>
          <w:bCs/>
          <w:lang w:eastAsia="es-ES"/>
        </w:rPr>
        <w:t>Nota 2</w:t>
      </w:r>
      <w:r>
        <w:rPr>
          <w:rFonts w:ascii="Garamond" w:hAnsi="Garamond"/>
          <w:lang w:eastAsia="es-ES"/>
        </w:rPr>
        <w:t xml:space="preserve">: </w:t>
      </w:r>
      <w:r w:rsidRPr="00A526AB">
        <w:rPr>
          <w:rFonts w:ascii="Garamond" w:hAnsi="Garamond"/>
          <w:lang w:eastAsia="es-ES"/>
        </w:rPr>
        <w:t>Dicho presupuesto se estimó con las áreas y metros lineales establecidos en el momento del diagnóstico elaborado por la UAERMV, no obstante, las áreas que se conciliarán o descontarán del presupuesto serán las que efectivamente se ejecuten, hasta agotar el presupuesto, lo cual puede lle</w:t>
      </w:r>
      <w:r>
        <w:rPr>
          <w:rFonts w:ascii="Garamond" w:hAnsi="Garamond"/>
          <w:lang w:eastAsia="es-ES"/>
        </w:rPr>
        <w:t>v</w:t>
      </w:r>
      <w:r w:rsidRPr="00A526AB">
        <w:rPr>
          <w:rFonts w:ascii="Garamond" w:hAnsi="Garamond"/>
          <w:lang w:eastAsia="es-ES"/>
        </w:rPr>
        <w:t>ar a que al final del balance de ejecución se ejecuten un mayor o menor número de segmentos viales de los inicialmente proyectados, sin que esto lleve a ningún incumplimiento para ninguna de las partes.</w:t>
      </w:r>
    </w:p>
    <w:p w14:paraId="79EA9756" w14:textId="77777777" w:rsidR="00E90D2A" w:rsidRDefault="00E90D2A" w:rsidP="00E90D2A">
      <w:pPr>
        <w:pStyle w:val="Sinespaciado"/>
        <w:jc w:val="both"/>
        <w:rPr>
          <w:rFonts w:ascii="Garamond" w:hAnsi="Garamond"/>
          <w:lang w:eastAsia="es-ES"/>
        </w:rPr>
      </w:pPr>
    </w:p>
    <w:p w14:paraId="37BCC8B6" w14:textId="77777777" w:rsidR="00E90D2A" w:rsidRPr="00943840" w:rsidRDefault="00E90D2A" w:rsidP="00E90D2A">
      <w:pPr>
        <w:keepLines/>
        <w:widowControl w:val="0"/>
        <w:spacing w:before="240"/>
        <w:rPr>
          <w:rFonts w:ascii="Garamond" w:hAnsi="Garamond"/>
          <w:lang w:eastAsia="es-ES"/>
        </w:rPr>
      </w:pPr>
      <w:r w:rsidRPr="00B20F5A">
        <w:rPr>
          <w:rFonts w:ascii="Garamond" w:hAnsi="Garamond"/>
          <w:b/>
          <w:bCs/>
          <w:lang w:eastAsia="es-ES"/>
        </w:rPr>
        <w:t>NOTA 3:</w:t>
      </w:r>
      <w:r w:rsidRPr="00943840">
        <w:rPr>
          <w:rFonts w:ascii="Garamond" w:hAnsi="Garamond"/>
          <w:lang w:eastAsia="es-ES"/>
        </w:rPr>
        <w:t xml:space="preserve"> </w:t>
      </w:r>
      <w:bookmarkStart w:id="18" w:name="OLE_LINK3"/>
      <w:r w:rsidRPr="00943840">
        <w:rPr>
          <w:rFonts w:ascii="Garamond" w:hAnsi="Garamond"/>
          <w:lang w:eastAsia="es-ES"/>
        </w:rPr>
        <w:t xml:space="preserve">La UAERMV podrá apoyar con mayor recurso en especie, en los ítems presentes o en los que se requieran, si su presupuesto misional y capacidad operativa lo permiten, en caso de que se requiera durante la ejecución de las intervenciones. Lo anterior, para el cabal cumplimiento de los objetivos y metas del convenio. </w:t>
      </w:r>
    </w:p>
    <w:bookmarkEnd w:id="18"/>
    <w:p w14:paraId="606CBB5E" w14:textId="77777777" w:rsidR="00E90D2A" w:rsidRPr="00B20F5A" w:rsidRDefault="00E90D2A" w:rsidP="00E90D2A">
      <w:pPr>
        <w:pStyle w:val="Sinespaciado"/>
        <w:jc w:val="both"/>
        <w:rPr>
          <w:rFonts w:ascii="Garamond" w:hAnsi="Garamond"/>
          <w:b/>
          <w:bCs/>
          <w:lang w:eastAsia="es-ES"/>
        </w:rPr>
      </w:pPr>
    </w:p>
    <w:p w14:paraId="465CE967" w14:textId="77777777" w:rsidR="00E90D2A" w:rsidRPr="00FB50AD" w:rsidRDefault="00E90D2A" w:rsidP="00E90D2A">
      <w:pPr>
        <w:pStyle w:val="Sinespaciado"/>
        <w:jc w:val="both"/>
        <w:rPr>
          <w:rFonts w:ascii="Garamond" w:hAnsi="Garamond"/>
          <w:lang w:eastAsia="es-ES"/>
        </w:rPr>
      </w:pPr>
      <w:r w:rsidRPr="00B20F5A">
        <w:rPr>
          <w:rFonts w:ascii="Garamond" w:hAnsi="Garamond"/>
          <w:b/>
          <w:bCs/>
          <w:lang w:eastAsia="es-ES"/>
        </w:rPr>
        <w:t>NOTA 4:</w:t>
      </w:r>
      <w:r>
        <w:rPr>
          <w:rFonts w:ascii="Garamond" w:hAnsi="Garamond"/>
          <w:lang w:eastAsia="es-ES"/>
        </w:rPr>
        <w:t xml:space="preserve"> </w:t>
      </w:r>
      <w:r w:rsidRPr="00FB50AD">
        <w:rPr>
          <w:rFonts w:ascii="Garamond" w:hAnsi="Garamond"/>
          <w:lang w:eastAsia="es-ES"/>
        </w:rPr>
        <w:t>En caso que se presente cambios de vigencias en el Convenio, se contará con la posibilidad de ajustar valores a través del  Índice de Costos de la Construcción de Obras Civiles (ICOCIV)</w:t>
      </w:r>
      <w:r>
        <w:rPr>
          <w:rFonts w:ascii="Garamond" w:hAnsi="Garamond"/>
          <w:lang w:eastAsia="es-ES"/>
        </w:rPr>
        <w:t>, que puede ser consultado en la página del DANE (</w:t>
      </w:r>
      <w:hyperlink r:id="rId21" w:history="1">
        <w:r w:rsidRPr="00FB50AD">
          <w:rPr>
            <w:rFonts w:ascii="Garamond" w:hAnsi="Garamond"/>
            <w:lang w:eastAsia="es-ES"/>
          </w:rPr>
          <w:t>https://www.dane.gov.co/index.php/estadisticas-por-tema/precios-y-costos/indice-de-costos-de-la-construccion-de-obras-civiles-icociv</w:t>
        </w:r>
      </w:hyperlink>
      <w:r>
        <w:rPr>
          <w:rFonts w:ascii="Garamond" w:hAnsi="Garamond"/>
          <w:lang w:eastAsia="es-ES"/>
        </w:rPr>
        <w:t>). Esta situación será avalada por parte del Comité en virtud de su competencia.</w:t>
      </w:r>
    </w:p>
    <w:p w14:paraId="7572EF9A" w14:textId="77777777" w:rsidR="00E90D2A" w:rsidRPr="000056EA" w:rsidRDefault="00E90D2A" w:rsidP="00E90D2A">
      <w:pPr>
        <w:pStyle w:val="Ttulo1"/>
        <w:numPr>
          <w:ilvl w:val="0"/>
          <w:numId w:val="3"/>
        </w:numPr>
        <w:rPr>
          <w:rFonts w:ascii="Garamond" w:hAnsi="Garamond"/>
          <w:sz w:val="22"/>
          <w:szCs w:val="22"/>
        </w:rPr>
      </w:pPr>
      <w:r w:rsidRPr="000056EA">
        <w:rPr>
          <w:rFonts w:ascii="Garamond" w:hAnsi="Garamond"/>
          <w:sz w:val="22"/>
          <w:szCs w:val="22"/>
        </w:rPr>
        <w:t>CIERRE Y ENTREGA DEL CON</w:t>
      </w:r>
      <w:r>
        <w:rPr>
          <w:rFonts w:ascii="Garamond" w:hAnsi="Garamond"/>
          <w:sz w:val="22"/>
          <w:szCs w:val="22"/>
        </w:rPr>
        <w:t>VENIO</w:t>
      </w:r>
      <w:bookmarkEnd w:id="16"/>
      <w:bookmarkEnd w:id="17"/>
    </w:p>
    <w:p w14:paraId="555EE952" w14:textId="5767F3D3" w:rsidR="00E90D2A" w:rsidRDefault="00E90D2A" w:rsidP="00E90D2A">
      <w:pPr>
        <w:spacing w:before="324" w:after="0" w:line="240" w:lineRule="auto"/>
        <w:ind w:right="72"/>
        <w:rPr>
          <w:rFonts w:ascii="Garamond" w:hAnsi="Garamond" w:cs="Arial"/>
        </w:rPr>
      </w:pPr>
      <w:r>
        <w:rPr>
          <w:rFonts w:ascii="Garamond" w:hAnsi="Garamond" w:cs="Arial"/>
        </w:rPr>
        <w:t>La UAERMV r</w:t>
      </w:r>
      <w:r w:rsidRPr="00D7023C">
        <w:rPr>
          <w:rFonts w:ascii="Garamond" w:hAnsi="Garamond" w:cs="Arial"/>
        </w:rPr>
        <w:t>ealizará</w:t>
      </w:r>
      <w:r w:rsidRPr="00F85B8A">
        <w:rPr>
          <w:rFonts w:ascii="Garamond" w:hAnsi="Garamond" w:cs="Arial"/>
        </w:rPr>
        <w:t xml:space="preserve"> entregas </w:t>
      </w:r>
      <w:r>
        <w:rPr>
          <w:rFonts w:ascii="Garamond" w:hAnsi="Garamond" w:cs="Arial"/>
        </w:rPr>
        <w:t xml:space="preserve">de obra parcial de acuerdo con los segmentos intervenidos una vez </w:t>
      </w:r>
      <w:r w:rsidRPr="00F85B8A">
        <w:rPr>
          <w:rFonts w:ascii="Garamond" w:hAnsi="Garamond" w:cs="Arial"/>
        </w:rPr>
        <w:t xml:space="preserve">terminadas las obras, mediante acta de </w:t>
      </w:r>
      <w:r>
        <w:rPr>
          <w:rFonts w:ascii="Garamond" w:hAnsi="Garamond" w:cs="Arial"/>
        </w:rPr>
        <w:t>recibo final y físico por segmento. C</w:t>
      </w:r>
      <w:r w:rsidRPr="006E74A5">
        <w:rPr>
          <w:rFonts w:ascii="Garamond" w:hAnsi="Garamond" w:cs="Arial"/>
        </w:rPr>
        <w:t>umplidas la</w:t>
      </w:r>
      <w:r>
        <w:rPr>
          <w:rFonts w:ascii="Garamond" w:hAnsi="Garamond" w:cs="Arial"/>
        </w:rPr>
        <w:t xml:space="preserve"> totalidad de </w:t>
      </w:r>
      <w:r w:rsidRPr="006E74A5">
        <w:rPr>
          <w:rFonts w:ascii="Garamond" w:hAnsi="Garamond" w:cs="Arial"/>
        </w:rPr>
        <w:t xml:space="preserve">actividades de ejecución de obra, se deberá iniciar la etapa de cierre </w:t>
      </w:r>
      <w:r>
        <w:rPr>
          <w:rFonts w:ascii="Garamond" w:hAnsi="Garamond" w:cs="Arial"/>
        </w:rPr>
        <w:t xml:space="preserve">administrativo </w:t>
      </w:r>
      <w:r w:rsidRPr="006E74A5">
        <w:rPr>
          <w:rFonts w:ascii="Garamond" w:hAnsi="Garamond" w:cs="Arial"/>
        </w:rPr>
        <w:t xml:space="preserve">del convenio, </w:t>
      </w:r>
      <w:r>
        <w:rPr>
          <w:rFonts w:ascii="Garamond" w:hAnsi="Garamond" w:cs="Arial"/>
        </w:rPr>
        <w:t xml:space="preserve">la cual comporta el informe final actividades de la UAERMV, el informe final de supervisión por parte del </w:t>
      </w:r>
      <w:r w:rsidR="00F323CB">
        <w:rPr>
          <w:rFonts w:ascii="Garamond" w:hAnsi="Garamond" w:cs="Arial"/>
        </w:rPr>
        <w:t>FDLM</w:t>
      </w:r>
      <w:r>
        <w:rPr>
          <w:rFonts w:ascii="Garamond" w:hAnsi="Garamond" w:cs="Arial"/>
        </w:rPr>
        <w:t>, el acta de terminación del convenio para proceder a la solicitud de liquidación del convenio.</w:t>
      </w:r>
    </w:p>
    <w:p w14:paraId="3529CABA" w14:textId="77777777" w:rsidR="00E90D2A" w:rsidRDefault="00E90D2A" w:rsidP="00E90D2A">
      <w:pPr>
        <w:spacing w:after="0" w:line="240" w:lineRule="auto"/>
        <w:ind w:right="45"/>
        <w:textAlignment w:val="baseline"/>
        <w:rPr>
          <w:rFonts w:ascii="Garamond" w:hAnsi="Garamond" w:cs="Arial"/>
        </w:rPr>
      </w:pPr>
    </w:p>
    <w:p w14:paraId="1F53168B" w14:textId="77777777" w:rsidR="00E90D2A" w:rsidRDefault="00E90D2A" w:rsidP="00E90D2A">
      <w:pPr>
        <w:pStyle w:val="Ttulo1"/>
        <w:numPr>
          <w:ilvl w:val="0"/>
          <w:numId w:val="3"/>
        </w:numPr>
        <w:spacing w:before="0" w:after="0"/>
        <w:rPr>
          <w:rFonts w:ascii="Garamond" w:hAnsi="Garamond"/>
          <w:color w:val="auto"/>
          <w:sz w:val="22"/>
          <w:szCs w:val="22"/>
        </w:rPr>
      </w:pPr>
      <w:bookmarkStart w:id="19" w:name="_Toc172295950"/>
      <w:r w:rsidRPr="006E74A5">
        <w:rPr>
          <w:rFonts w:ascii="Garamond" w:hAnsi="Garamond"/>
          <w:color w:val="auto"/>
          <w:sz w:val="22"/>
          <w:szCs w:val="22"/>
        </w:rPr>
        <w:t>S</w:t>
      </w:r>
      <w:r>
        <w:rPr>
          <w:rFonts w:ascii="Garamond" w:hAnsi="Garamond"/>
          <w:color w:val="auto"/>
          <w:sz w:val="22"/>
          <w:szCs w:val="22"/>
        </w:rPr>
        <w:t xml:space="preserve">EGUIMIENTO Y CALIDAD </w:t>
      </w:r>
      <w:r w:rsidRPr="006E74A5">
        <w:rPr>
          <w:rFonts w:ascii="Garamond" w:hAnsi="Garamond"/>
          <w:color w:val="auto"/>
          <w:sz w:val="22"/>
          <w:szCs w:val="22"/>
        </w:rPr>
        <w:t>DE</w:t>
      </w:r>
      <w:bookmarkEnd w:id="19"/>
      <w:r>
        <w:rPr>
          <w:rFonts w:ascii="Garamond" w:hAnsi="Garamond"/>
          <w:color w:val="auto"/>
          <w:sz w:val="22"/>
          <w:szCs w:val="22"/>
        </w:rPr>
        <w:t xml:space="preserve"> LAS INTERVENCIONES</w:t>
      </w:r>
    </w:p>
    <w:p w14:paraId="51948539" w14:textId="77777777" w:rsidR="00E90D2A" w:rsidRDefault="00E90D2A" w:rsidP="00E90D2A">
      <w:pPr>
        <w:spacing w:after="0" w:line="240" w:lineRule="auto"/>
        <w:ind w:right="45"/>
        <w:textAlignment w:val="baseline"/>
        <w:rPr>
          <w:rFonts w:ascii="Garamond" w:hAnsi="Garamond" w:cs="Arial"/>
        </w:rPr>
      </w:pPr>
    </w:p>
    <w:p w14:paraId="49C7B46C" w14:textId="3F0DF99B" w:rsidR="00E90D2A" w:rsidRDefault="00E90D2A" w:rsidP="00E90D2A">
      <w:pPr>
        <w:spacing w:after="0" w:line="240" w:lineRule="auto"/>
        <w:ind w:right="45"/>
        <w:textAlignment w:val="baseline"/>
        <w:rPr>
          <w:rFonts w:ascii="Garamond" w:hAnsi="Garamond" w:cs="Arial"/>
        </w:rPr>
      </w:pPr>
      <w:r w:rsidRPr="006E74A5">
        <w:rPr>
          <w:rFonts w:ascii="Garamond" w:hAnsi="Garamond" w:cs="Arial"/>
        </w:rPr>
        <w:lastRenderedPageBreak/>
        <w:t xml:space="preserve">Este proceso está encaminado a </w:t>
      </w:r>
      <w:r>
        <w:rPr>
          <w:rFonts w:ascii="Garamond" w:hAnsi="Garamond" w:cs="Arial"/>
        </w:rPr>
        <w:t xml:space="preserve">verificar la calidad de las obras ejecutadas y garantizar </w:t>
      </w:r>
      <w:r w:rsidRPr="006E74A5">
        <w:rPr>
          <w:rFonts w:ascii="Garamond" w:hAnsi="Garamond" w:cs="Arial"/>
        </w:rPr>
        <w:t>la conservación de la</w:t>
      </w:r>
      <w:r>
        <w:rPr>
          <w:rFonts w:ascii="Garamond" w:hAnsi="Garamond" w:cs="Arial"/>
        </w:rPr>
        <w:t>s</w:t>
      </w:r>
      <w:r w:rsidRPr="006E74A5">
        <w:rPr>
          <w:rFonts w:ascii="Garamond" w:hAnsi="Garamond" w:cs="Arial"/>
        </w:rPr>
        <w:t xml:space="preserve"> </w:t>
      </w:r>
      <w:r>
        <w:rPr>
          <w:rFonts w:ascii="Garamond" w:hAnsi="Garamond" w:cs="Arial"/>
        </w:rPr>
        <w:t>mismas</w:t>
      </w:r>
      <w:r w:rsidRPr="006E74A5">
        <w:rPr>
          <w:rFonts w:ascii="Garamond" w:hAnsi="Garamond" w:cs="Arial"/>
        </w:rPr>
        <w:t xml:space="preserve"> para un mejor desempeño de operación del bien y reducción del nivel de riesgo de daños humanos y materiales. </w:t>
      </w:r>
      <w:r>
        <w:rPr>
          <w:rFonts w:ascii="Garamond" w:hAnsi="Garamond" w:cs="Arial"/>
        </w:rPr>
        <w:t xml:space="preserve"> </w:t>
      </w:r>
      <w:r w:rsidRPr="00E46A7B">
        <w:rPr>
          <w:rFonts w:ascii="Garamond" w:hAnsi="Garamond" w:cs="Arial"/>
        </w:rPr>
        <w:t xml:space="preserve">Para ello, la UAERMV deberá elaborar un documento que consolide los componentes del plan de seguimiento y sostenibilidad, como se ha enunciado en el desarrollo del POA. Este documento será entregado al </w:t>
      </w:r>
      <w:r w:rsidR="00F323CB">
        <w:rPr>
          <w:rFonts w:ascii="Garamond" w:hAnsi="Garamond" w:cs="Arial"/>
        </w:rPr>
        <w:t>FDLM</w:t>
      </w:r>
    </w:p>
    <w:p w14:paraId="0D616F79" w14:textId="77777777" w:rsidR="00E90D2A" w:rsidRDefault="00E90D2A" w:rsidP="00E90D2A">
      <w:pPr>
        <w:spacing w:after="0" w:line="240" w:lineRule="auto"/>
        <w:ind w:right="45"/>
        <w:textAlignment w:val="baseline"/>
        <w:rPr>
          <w:rFonts w:ascii="Garamond" w:hAnsi="Garamond" w:cs="Arial"/>
        </w:rPr>
      </w:pPr>
    </w:p>
    <w:p w14:paraId="6DFE3F6F" w14:textId="6B15F26F" w:rsidR="00E90D2A" w:rsidRDefault="00E90D2A" w:rsidP="00E90D2A">
      <w:pPr>
        <w:pBdr>
          <w:top w:val="nil"/>
          <w:left w:val="nil"/>
          <w:bottom w:val="nil"/>
          <w:right w:val="nil"/>
          <w:between w:val="nil"/>
        </w:pBdr>
        <w:ind w:right="304"/>
        <w:rPr>
          <w:rFonts w:ascii="Garamond" w:hAnsi="Garamond"/>
        </w:rPr>
      </w:pPr>
      <w:r w:rsidRPr="00E46A7B">
        <w:rPr>
          <w:rFonts w:ascii="Garamond" w:hAnsi="Garamond" w:cs="Arial"/>
        </w:rPr>
        <w:t xml:space="preserve">Teniendo en cuenta lo anterior, la UAERMV, </w:t>
      </w:r>
      <w:r w:rsidRPr="00E46A7B">
        <w:rPr>
          <w:rFonts w:ascii="Garamond" w:hAnsi="Garamond"/>
        </w:rPr>
        <w:t xml:space="preserve">deberá garantizar la calidad de los bienes y servicios prestados de acuerdo con las especificaciones técnicas, procediendo a subsanar las deficiencias que se presenten en las intervenciones ejecutadas como acciones de movilidad </w:t>
      </w:r>
      <w:r>
        <w:rPr>
          <w:rFonts w:ascii="Garamond" w:hAnsi="Garamond"/>
        </w:rPr>
        <w:t>(</w:t>
      </w:r>
      <w:r w:rsidRPr="00E46A7B">
        <w:rPr>
          <w:rFonts w:ascii="Garamond" w:hAnsi="Garamond"/>
        </w:rPr>
        <w:t>bacheo</w:t>
      </w:r>
      <w:r>
        <w:rPr>
          <w:rFonts w:ascii="Garamond" w:hAnsi="Garamond"/>
        </w:rPr>
        <w:t>,</w:t>
      </w:r>
      <w:r w:rsidRPr="00E46A7B">
        <w:rPr>
          <w:rFonts w:ascii="Garamond" w:hAnsi="Garamond"/>
        </w:rPr>
        <w:t xml:space="preserve"> parcheo</w:t>
      </w:r>
      <w:r>
        <w:rPr>
          <w:rFonts w:ascii="Garamond" w:hAnsi="Garamond"/>
        </w:rPr>
        <w:t xml:space="preserve"> y fresado)</w:t>
      </w:r>
      <w:r w:rsidRPr="00E46A7B">
        <w:rPr>
          <w:rFonts w:ascii="Garamond" w:hAnsi="Garamond"/>
        </w:rPr>
        <w:t xml:space="preserve"> durante un periodo de seis (6) meses</w:t>
      </w:r>
      <w:r>
        <w:rPr>
          <w:rFonts w:ascii="Garamond" w:hAnsi="Garamond"/>
        </w:rPr>
        <w:t>,</w:t>
      </w:r>
      <w:r w:rsidRPr="00E46A7B">
        <w:rPr>
          <w:rFonts w:ascii="Garamond" w:hAnsi="Garamond"/>
        </w:rPr>
        <w:t xml:space="preserve"> después del cierre de los trabajos de cada calzada intervenida, </w:t>
      </w:r>
      <w:r>
        <w:rPr>
          <w:rFonts w:ascii="Garamond" w:hAnsi="Garamond"/>
        </w:rPr>
        <w:t>y la entrega del segmento a</w:t>
      </w:r>
      <w:r w:rsidRPr="00E46A7B">
        <w:rPr>
          <w:rFonts w:ascii="Garamond" w:hAnsi="Garamond"/>
        </w:rPr>
        <w:t xml:space="preserve">l </w:t>
      </w:r>
      <w:r w:rsidR="00F323CB">
        <w:rPr>
          <w:rFonts w:ascii="Garamond" w:hAnsi="Garamond"/>
        </w:rPr>
        <w:t>FDLM</w:t>
      </w:r>
      <w:r w:rsidRPr="00E46A7B">
        <w:rPr>
          <w:rFonts w:ascii="Garamond" w:hAnsi="Garamond"/>
        </w:rPr>
        <w:t>.</w:t>
      </w:r>
      <w:r w:rsidRPr="005C2CF8">
        <w:rPr>
          <w:rFonts w:ascii="Garamond" w:hAnsi="Garamond"/>
        </w:rPr>
        <w:t xml:space="preserve"> </w:t>
      </w:r>
      <w:r>
        <w:rPr>
          <w:rFonts w:ascii="Garamond" w:hAnsi="Garamond"/>
        </w:rPr>
        <w:t xml:space="preserve">En caso de presentarse un deterioro por deficiencias la UAERMV </w:t>
      </w:r>
      <w:r w:rsidRPr="005C2CF8">
        <w:rPr>
          <w:rFonts w:ascii="Garamond" w:hAnsi="Garamond"/>
        </w:rPr>
        <w:t>realizará a todo costo y a su cargo, las reparaciones y/o mejoramientos que se requieran</w:t>
      </w:r>
      <w:r>
        <w:rPr>
          <w:rFonts w:ascii="Garamond" w:hAnsi="Garamond"/>
        </w:rPr>
        <w:t xml:space="preserve"> </w:t>
      </w:r>
      <w:r w:rsidRPr="00F93E41">
        <w:rPr>
          <w:rFonts w:ascii="Garamond" w:hAnsi="Garamond"/>
        </w:rPr>
        <w:t>durante este plazo.</w:t>
      </w:r>
    </w:p>
    <w:p w14:paraId="4DD4744B" w14:textId="77777777" w:rsidR="00E90D2A" w:rsidRDefault="00E90D2A" w:rsidP="00E90D2A">
      <w:pPr>
        <w:pBdr>
          <w:top w:val="nil"/>
          <w:left w:val="nil"/>
          <w:bottom w:val="nil"/>
          <w:right w:val="nil"/>
          <w:between w:val="nil"/>
        </w:pBdr>
        <w:ind w:right="304"/>
        <w:rPr>
          <w:rFonts w:ascii="Garamond" w:hAnsi="Garamond" w:cs="Arial"/>
          <w:bCs/>
          <w:iCs/>
          <w:lang w:bidi="es-ES"/>
        </w:rPr>
      </w:pPr>
      <w:r>
        <w:rPr>
          <w:rFonts w:ascii="Garamond" w:hAnsi="Garamond" w:cs="Arial"/>
          <w:bCs/>
          <w:iCs/>
          <w:lang w:bidi="es-ES"/>
        </w:rPr>
        <w:t>Además, a</w:t>
      </w:r>
      <w:r w:rsidRPr="002E17CA">
        <w:rPr>
          <w:rFonts w:ascii="Garamond" w:hAnsi="Garamond" w:cs="Arial"/>
          <w:bCs/>
          <w:iCs/>
          <w:lang w:bidi="es-ES"/>
        </w:rPr>
        <w:t>plicar</w:t>
      </w:r>
      <w:r>
        <w:rPr>
          <w:rFonts w:ascii="Garamond" w:hAnsi="Garamond" w:cs="Arial"/>
          <w:bCs/>
          <w:iCs/>
          <w:lang w:bidi="es-ES"/>
        </w:rPr>
        <w:t>á</w:t>
      </w:r>
      <w:r w:rsidRPr="002E17CA">
        <w:rPr>
          <w:rFonts w:ascii="Garamond" w:hAnsi="Garamond" w:cs="Arial"/>
          <w:bCs/>
          <w:iCs/>
          <w:lang w:bidi="es-ES"/>
        </w:rPr>
        <w:t xml:space="preserve"> una vez se cumpl</w:t>
      </w:r>
      <w:r>
        <w:rPr>
          <w:rFonts w:ascii="Garamond" w:hAnsi="Garamond" w:cs="Arial"/>
          <w:bCs/>
          <w:iCs/>
          <w:lang w:bidi="es-ES"/>
        </w:rPr>
        <w:t>a</w:t>
      </w:r>
      <w:r w:rsidRPr="002E17CA">
        <w:rPr>
          <w:rFonts w:ascii="Garamond" w:hAnsi="Garamond" w:cs="Arial"/>
          <w:bCs/>
          <w:iCs/>
          <w:lang w:bidi="es-ES"/>
        </w:rPr>
        <w:t xml:space="preserve">n con las etapas de ejecución de la intervención, el procedimiento de seguimiento a las intervenciones ejecutadas mediante visitas técnicas de diagnóstico visual por la metodología PCI, con el fin de identificar las acciones requeridas de mantenimiento. Lo anterior para garantizar un índice de prestación de servicio – IPS adecuado, de la siguiente manera: </w:t>
      </w:r>
    </w:p>
    <w:p w14:paraId="6A7E3B88" w14:textId="16B90603" w:rsidR="00E90D2A" w:rsidRPr="004D1E76" w:rsidRDefault="00E90D2A" w:rsidP="00E90D2A">
      <w:pPr>
        <w:pStyle w:val="Prrafodelista"/>
        <w:numPr>
          <w:ilvl w:val="0"/>
          <w:numId w:val="59"/>
        </w:numPr>
        <w:pBdr>
          <w:top w:val="nil"/>
          <w:left w:val="nil"/>
          <w:bottom w:val="nil"/>
          <w:right w:val="nil"/>
          <w:between w:val="nil"/>
        </w:pBdr>
        <w:ind w:right="304"/>
        <w:rPr>
          <w:rFonts w:ascii="Garamond" w:hAnsi="Garamond"/>
        </w:rPr>
      </w:pPr>
      <w:r w:rsidRPr="004D1E76">
        <w:rPr>
          <w:rFonts w:ascii="Garamond" w:hAnsi="Garamond" w:cs="Arial"/>
          <w:bCs/>
          <w:iCs/>
          <w:lang w:bidi="es-ES"/>
        </w:rPr>
        <w:t>Para las actividades de re</w:t>
      </w:r>
      <w:r>
        <w:rPr>
          <w:rFonts w:ascii="Garamond" w:hAnsi="Garamond" w:cs="Arial"/>
          <w:bCs/>
          <w:iCs/>
          <w:lang w:bidi="es-ES"/>
        </w:rPr>
        <w:t xml:space="preserve">habilitación de cinco (05) años, </w:t>
      </w:r>
      <w:r w:rsidRPr="004D1E76">
        <w:rPr>
          <w:rFonts w:ascii="Garamond" w:hAnsi="Garamond"/>
        </w:rPr>
        <w:t xml:space="preserve">para lo cual realizará a todo costo y a su cargo, las </w:t>
      </w:r>
      <w:r w:rsidR="00F02AF7">
        <w:rPr>
          <w:rFonts w:ascii="Garamond" w:hAnsi="Garamond"/>
        </w:rPr>
        <w:t>actividades de conservación</w:t>
      </w:r>
      <w:r w:rsidRPr="004D1E76">
        <w:rPr>
          <w:rFonts w:ascii="Garamond" w:hAnsi="Garamond"/>
        </w:rPr>
        <w:t xml:space="preserve"> que se requieran.</w:t>
      </w:r>
    </w:p>
    <w:p w14:paraId="07BECBE4" w14:textId="61E9B098" w:rsidR="00E90D2A" w:rsidRPr="00F93E41" w:rsidRDefault="00E90D2A" w:rsidP="00E90D2A">
      <w:pPr>
        <w:pStyle w:val="Prrafodelista"/>
        <w:numPr>
          <w:ilvl w:val="0"/>
          <w:numId w:val="59"/>
        </w:numPr>
        <w:pBdr>
          <w:top w:val="nil"/>
          <w:left w:val="nil"/>
          <w:bottom w:val="nil"/>
          <w:right w:val="nil"/>
          <w:between w:val="nil"/>
        </w:pBdr>
        <w:ind w:right="304"/>
        <w:rPr>
          <w:rFonts w:ascii="Garamond" w:hAnsi="Garamond"/>
        </w:rPr>
      </w:pPr>
      <w:r>
        <w:rPr>
          <w:rFonts w:ascii="Garamond" w:hAnsi="Garamond" w:cs="Arial"/>
          <w:bCs/>
          <w:iCs/>
          <w:lang w:bidi="es-ES"/>
        </w:rPr>
        <w:t>P</w:t>
      </w:r>
      <w:r w:rsidRPr="004D1E76">
        <w:rPr>
          <w:rFonts w:ascii="Garamond" w:hAnsi="Garamond" w:cs="Arial"/>
          <w:bCs/>
          <w:iCs/>
          <w:lang w:bidi="es-ES"/>
        </w:rPr>
        <w:t>ara las actividades de cambio de carpeta de (0</w:t>
      </w:r>
      <w:r>
        <w:rPr>
          <w:rFonts w:ascii="Garamond" w:hAnsi="Garamond" w:cs="Arial"/>
          <w:bCs/>
          <w:iCs/>
          <w:lang w:bidi="es-ES"/>
        </w:rPr>
        <w:t>2</w:t>
      </w:r>
      <w:r w:rsidRPr="004D1E76">
        <w:rPr>
          <w:rFonts w:ascii="Garamond" w:hAnsi="Garamond" w:cs="Arial"/>
          <w:bCs/>
          <w:iCs/>
          <w:lang w:bidi="es-ES"/>
        </w:rPr>
        <w:t xml:space="preserve">) </w:t>
      </w:r>
      <w:r>
        <w:rPr>
          <w:rFonts w:ascii="Garamond" w:hAnsi="Garamond" w:cs="Arial"/>
          <w:bCs/>
          <w:iCs/>
          <w:lang w:bidi="es-ES"/>
        </w:rPr>
        <w:t>dos</w:t>
      </w:r>
      <w:r w:rsidRPr="004D1E76">
        <w:rPr>
          <w:rFonts w:ascii="Garamond" w:hAnsi="Garamond" w:cs="Arial"/>
          <w:bCs/>
          <w:iCs/>
          <w:lang w:bidi="es-ES"/>
        </w:rPr>
        <w:t xml:space="preserve"> años </w:t>
      </w:r>
      <w:r w:rsidRPr="004D1E76">
        <w:rPr>
          <w:rFonts w:ascii="Garamond" w:hAnsi="Garamond"/>
        </w:rPr>
        <w:t xml:space="preserve">para lo cual realizará a todo costo </w:t>
      </w:r>
      <w:r w:rsidRPr="00F93E41">
        <w:rPr>
          <w:rFonts w:ascii="Garamond" w:hAnsi="Garamond"/>
        </w:rPr>
        <w:t xml:space="preserve">y a su cargo, </w:t>
      </w:r>
      <w:r w:rsidR="00F02AF7">
        <w:rPr>
          <w:rFonts w:ascii="Garamond" w:hAnsi="Garamond"/>
        </w:rPr>
        <w:t>actividades de conservación</w:t>
      </w:r>
      <w:r w:rsidR="00F02AF7" w:rsidRPr="004D1E76">
        <w:rPr>
          <w:rFonts w:ascii="Garamond" w:hAnsi="Garamond"/>
        </w:rPr>
        <w:t xml:space="preserve"> </w:t>
      </w:r>
      <w:r w:rsidRPr="00F93E41">
        <w:rPr>
          <w:rFonts w:ascii="Garamond" w:hAnsi="Garamond"/>
        </w:rPr>
        <w:t xml:space="preserve">que se requieran. </w:t>
      </w:r>
    </w:p>
    <w:p w14:paraId="3DA0AA7E" w14:textId="2C9479BB" w:rsidR="00E90D2A" w:rsidRDefault="00E90D2A" w:rsidP="00E90D2A">
      <w:pPr>
        <w:pBdr>
          <w:top w:val="nil"/>
          <w:left w:val="nil"/>
          <w:bottom w:val="nil"/>
          <w:right w:val="nil"/>
          <w:between w:val="nil"/>
        </w:pBdr>
        <w:ind w:right="304"/>
        <w:rPr>
          <w:rFonts w:ascii="Garamond" w:hAnsi="Garamond"/>
        </w:rPr>
      </w:pPr>
      <w:r w:rsidRPr="00F93E41">
        <w:rPr>
          <w:rFonts w:ascii="Garamond" w:hAnsi="Garamond"/>
        </w:rPr>
        <w:t xml:space="preserve">De las </w:t>
      </w:r>
      <w:r>
        <w:rPr>
          <w:rFonts w:ascii="Garamond" w:hAnsi="Garamond"/>
        </w:rPr>
        <w:t>acciones que se realicen se</w:t>
      </w:r>
      <w:r w:rsidRPr="00AB6F57">
        <w:rPr>
          <w:rFonts w:ascii="Garamond" w:hAnsi="Garamond"/>
        </w:rPr>
        <w:t xml:space="preserve"> </w:t>
      </w:r>
      <w:r>
        <w:rPr>
          <w:rFonts w:ascii="Garamond" w:hAnsi="Garamond"/>
        </w:rPr>
        <w:t xml:space="preserve">deberá </w:t>
      </w:r>
      <w:r w:rsidRPr="00F93E41">
        <w:rPr>
          <w:rFonts w:ascii="Garamond" w:hAnsi="Garamond"/>
        </w:rPr>
        <w:t xml:space="preserve">remitir el respectivo informe al </w:t>
      </w:r>
      <w:r w:rsidR="00F323CB">
        <w:rPr>
          <w:rFonts w:ascii="Garamond" w:hAnsi="Garamond"/>
        </w:rPr>
        <w:t>FDLM</w:t>
      </w:r>
      <w:r>
        <w:rPr>
          <w:rFonts w:ascii="Garamond" w:hAnsi="Garamond"/>
        </w:rPr>
        <w:t>.</w:t>
      </w:r>
    </w:p>
    <w:p w14:paraId="7305322B" w14:textId="77777777" w:rsidR="00F008A9" w:rsidRPr="00F008A9" w:rsidRDefault="00F008A9" w:rsidP="00F008A9">
      <w:pPr>
        <w:pStyle w:val="Textocomentario"/>
        <w:jc w:val="left"/>
        <w:rPr>
          <w:rFonts w:ascii="Garamond" w:hAnsi="Garamond" w:cs="Arial"/>
          <w:bCs/>
          <w:iCs/>
          <w:szCs w:val="22"/>
          <w:lang w:val="es-CO" w:eastAsia="es-CO" w:bidi="es-ES"/>
        </w:rPr>
      </w:pPr>
      <w:r w:rsidRPr="00F008A9">
        <w:rPr>
          <w:rFonts w:ascii="Garamond" w:hAnsi="Garamond" w:cs="Arial"/>
          <w:bCs/>
          <w:iCs/>
          <w:szCs w:val="22"/>
          <w:lang w:val="es-CO" w:eastAsia="es-CO" w:bidi="es-ES"/>
        </w:rPr>
        <w:t>La ejecución de las actividades tipo parcheo se enmarcan en acciones de movilidad. la cual se entiende como el conjunto de actividades superficiales y temporales tendientes a solucionar y garantizar de forma provisional las condiciones de movilidad y seguridad vial.</w:t>
      </w:r>
    </w:p>
    <w:p w14:paraId="2962924F" w14:textId="77777777" w:rsidR="00F008A9" w:rsidRPr="00F008A9" w:rsidRDefault="00F008A9" w:rsidP="00F008A9">
      <w:pPr>
        <w:pStyle w:val="Textocomentario"/>
        <w:jc w:val="left"/>
        <w:rPr>
          <w:rFonts w:ascii="Garamond" w:hAnsi="Garamond" w:cs="Arial"/>
          <w:bCs/>
          <w:iCs/>
          <w:szCs w:val="22"/>
          <w:lang w:val="es-CO" w:eastAsia="es-CO" w:bidi="es-ES"/>
        </w:rPr>
      </w:pPr>
      <w:r w:rsidRPr="00F008A9">
        <w:rPr>
          <w:rFonts w:ascii="Garamond" w:hAnsi="Garamond" w:cs="Arial"/>
          <w:bCs/>
          <w:iCs/>
          <w:szCs w:val="22"/>
          <w:lang w:val="es-CO" w:eastAsia="es-CO" w:bidi="es-ES"/>
        </w:rPr>
        <w:t>Con base en lo anterior Las Acciones de Movilidad tienen un CARÁCTER TEMPORAL ya que como se menciona, no requieren de un diseño y son de tipo puntual y superficial y su durabilidad se verá afectada por la incidencia de los siguientes elementos:</w:t>
      </w:r>
    </w:p>
    <w:p w14:paraId="4593AFC0" w14:textId="77777777" w:rsidR="00F008A9" w:rsidRPr="00F008A9" w:rsidRDefault="00F008A9" w:rsidP="00F008A9">
      <w:pPr>
        <w:pStyle w:val="Textocomentario"/>
        <w:jc w:val="left"/>
        <w:rPr>
          <w:rFonts w:ascii="Garamond" w:hAnsi="Garamond" w:cs="Arial"/>
          <w:bCs/>
          <w:iCs/>
          <w:szCs w:val="22"/>
          <w:lang w:val="es-CO" w:eastAsia="es-CO" w:bidi="es-ES"/>
        </w:rPr>
      </w:pPr>
      <w:r w:rsidRPr="00F008A9">
        <w:rPr>
          <w:rFonts w:ascii="Garamond" w:hAnsi="Garamond" w:cs="Arial"/>
          <w:bCs/>
          <w:iCs/>
          <w:szCs w:val="22"/>
          <w:lang w:val="es-CO" w:eastAsia="es-CO" w:bidi="es-ES"/>
        </w:rPr>
        <w:t>o</w:t>
      </w:r>
      <w:r w:rsidRPr="00F008A9">
        <w:rPr>
          <w:rFonts w:ascii="Garamond" w:hAnsi="Garamond" w:cs="Arial"/>
          <w:bCs/>
          <w:iCs/>
          <w:szCs w:val="22"/>
          <w:lang w:val="es-CO" w:eastAsia="es-CO" w:bidi="es-ES"/>
        </w:rPr>
        <w:tab/>
        <w:t xml:space="preserve">El tráfico y tipos de vehículos, </w:t>
      </w:r>
    </w:p>
    <w:p w14:paraId="4DCA246D" w14:textId="77777777" w:rsidR="00F008A9" w:rsidRPr="00F008A9" w:rsidRDefault="00F008A9" w:rsidP="00F008A9">
      <w:pPr>
        <w:pStyle w:val="Textocomentario"/>
        <w:jc w:val="left"/>
        <w:rPr>
          <w:rFonts w:ascii="Garamond" w:hAnsi="Garamond" w:cs="Arial"/>
          <w:bCs/>
          <w:iCs/>
          <w:szCs w:val="22"/>
          <w:lang w:val="es-CO" w:eastAsia="es-CO" w:bidi="es-ES"/>
        </w:rPr>
      </w:pPr>
      <w:r w:rsidRPr="00F008A9">
        <w:rPr>
          <w:rFonts w:ascii="Garamond" w:hAnsi="Garamond" w:cs="Arial"/>
          <w:bCs/>
          <w:iCs/>
          <w:szCs w:val="22"/>
          <w:lang w:val="es-CO" w:eastAsia="es-CO" w:bidi="es-ES"/>
        </w:rPr>
        <w:t>o</w:t>
      </w:r>
      <w:r w:rsidRPr="00F008A9">
        <w:rPr>
          <w:rFonts w:ascii="Garamond" w:hAnsi="Garamond" w:cs="Arial"/>
          <w:bCs/>
          <w:iCs/>
          <w:szCs w:val="22"/>
          <w:lang w:val="es-CO" w:eastAsia="es-CO" w:bidi="es-ES"/>
        </w:rPr>
        <w:tab/>
        <w:t xml:space="preserve">Las condiciones climáticas, </w:t>
      </w:r>
    </w:p>
    <w:p w14:paraId="5EE454F8" w14:textId="77777777" w:rsidR="00F008A9" w:rsidRPr="00F008A9" w:rsidRDefault="00F008A9" w:rsidP="00F008A9">
      <w:pPr>
        <w:pStyle w:val="Textocomentario"/>
        <w:jc w:val="left"/>
        <w:rPr>
          <w:rFonts w:ascii="Garamond" w:hAnsi="Garamond" w:cs="Arial"/>
          <w:bCs/>
          <w:iCs/>
          <w:szCs w:val="22"/>
          <w:lang w:val="es-CO" w:eastAsia="es-CO" w:bidi="es-ES"/>
        </w:rPr>
      </w:pPr>
      <w:r w:rsidRPr="00F008A9">
        <w:rPr>
          <w:rFonts w:ascii="Garamond" w:hAnsi="Garamond" w:cs="Arial"/>
          <w:bCs/>
          <w:iCs/>
          <w:szCs w:val="22"/>
          <w:lang w:val="es-CO" w:eastAsia="es-CO" w:bidi="es-ES"/>
        </w:rPr>
        <w:t>o</w:t>
      </w:r>
      <w:r w:rsidRPr="00F008A9">
        <w:rPr>
          <w:rFonts w:ascii="Garamond" w:hAnsi="Garamond" w:cs="Arial"/>
          <w:bCs/>
          <w:iCs/>
          <w:szCs w:val="22"/>
          <w:lang w:val="es-CO" w:eastAsia="es-CO" w:bidi="es-ES"/>
        </w:rPr>
        <w:tab/>
        <w:t xml:space="preserve">Las estructuras hidráulicas de la vía (drenajes, sumideros, alcantarillado), </w:t>
      </w:r>
    </w:p>
    <w:p w14:paraId="789C9318" w14:textId="77777777" w:rsidR="00F008A9" w:rsidRPr="00F008A9" w:rsidRDefault="00F008A9" w:rsidP="00F008A9">
      <w:pPr>
        <w:pStyle w:val="Textocomentario"/>
        <w:jc w:val="left"/>
        <w:rPr>
          <w:rFonts w:ascii="Garamond" w:hAnsi="Garamond" w:cs="Arial"/>
          <w:bCs/>
          <w:iCs/>
          <w:szCs w:val="22"/>
          <w:lang w:val="es-CO" w:eastAsia="es-CO" w:bidi="es-ES"/>
        </w:rPr>
      </w:pPr>
      <w:r w:rsidRPr="00F008A9">
        <w:rPr>
          <w:rFonts w:ascii="Garamond" w:hAnsi="Garamond" w:cs="Arial"/>
          <w:bCs/>
          <w:iCs/>
          <w:szCs w:val="22"/>
          <w:lang w:val="es-CO" w:eastAsia="es-CO" w:bidi="es-ES"/>
        </w:rPr>
        <w:t>o</w:t>
      </w:r>
      <w:r w:rsidRPr="00F008A9">
        <w:rPr>
          <w:rFonts w:ascii="Garamond" w:hAnsi="Garamond" w:cs="Arial"/>
          <w:bCs/>
          <w:iCs/>
          <w:szCs w:val="22"/>
          <w:lang w:val="es-CO" w:eastAsia="es-CO" w:bidi="es-ES"/>
        </w:rPr>
        <w:tab/>
        <w:t xml:space="preserve">las condiciones del espacio público asociado (con presencia de árboles, zonas verdes, confinamientos, etc.). </w:t>
      </w:r>
    </w:p>
    <w:p w14:paraId="29C3FA3A" w14:textId="77777777" w:rsidR="00F008A9" w:rsidRPr="00F008A9" w:rsidRDefault="00F008A9" w:rsidP="00F008A9">
      <w:pPr>
        <w:pStyle w:val="Textocomentario"/>
        <w:jc w:val="left"/>
        <w:rPr>
          <w:rFonts w:ascii="Garamond" w:hAnsi="Garamond" w:cs="Arial"/>
          <w:bCs/>
          <w:iCs/>
          <w:szCs w:val="22"/>
          <w:lang w:val="es-CO" w:eastAsia="es-CO" w:bidi="es-ES"/>
        </w:rPr>
      </w:pPr>
      <w:r w:rsidRPr="00F008A9">
        <w:rPr>
          <w:rFonts w:ascii="Garamond" w:hAnsi="Garamond" w:cs="Arial"/>
          <w:bCs/>
          <w:iCs/>
          <w:szCs w:val="22"/>
          <w:lang w:val="es-CO" w:eastAsia="es-CO" w:bidi="es-ES"/>
        </w:rPr>
        <w:t>o</w:t>
      </w:r>
      <w:r w:rsidRPr="00F008A9">
        <w:rPr>
          <w:rFonts w:ascii="Garamond" w:hAnsi="Garamond" w:cs="Arial"/>
          <w:bCs/>
          <w:iCs/>
          <w:szCs w:val="22"/>
          <w:lang w:val="es-CO" w:eastAsia="es-CO" w:bidi="es-ES"/>
        </w:rPr>
        <w:tab/>
        <w:t xml:space="preserve">El deterioro de redes subterráneas de servicios públicos. </w:t>
      </w:r>
    </w:p>
    <w:p w14:paraId="5E635C4F" w14:textId="77777777" w:rsidR="00F008A9" w:rsidRPr="00F008A9" w:rsidRDefault="00F008A9" w:rsidP="00F008A9">
      <w:pPr>
        <w:pStyle w:val="Textocomentario"/>
        <w:jc w:val="left"/>
        <w:rPr>
          <w:rFonts w:ascii="Garamond" w:hAnsi="Garamond" w:cs="Arial"/>
          <w:bCs/>
          <w:iCs/>
          <w:szCs w:val="22"/>
          <w:lang w:val="es-CO" w:eastAsia="es-CO" w:bidi="es-ES"/>
        </w:rPr>
      </w:pPr>
      <w:r w:rsidRPr="00F008A9">
        <w:rPr>
          <w:rFonts w:ascii="Garamond" w:hAnsi="Garamond" w:cs="Arial"/>
          <w:bCs/>
          <w:iCs/>
          <w:szCs w:val="22"/>
          <w:lang w:val="es-CO" w:eastAsia="es-CO" w:bidi="es-ES"/>
        </w:rPr>
        <w:t>o</w:t>
      </w:r>
      <w:r w:rsidRPr="00F008A9">
        <w:rPr>
          <w:rFonts w:ascii="Garamond" w:hAnsi="Garamond" w:cs="Arial"/>
          <w:bCs/>
          <w:iCs/>
          <w:szCs w:val="22"/>
          <w:lang w:val="es-CO" w:eastAsia="es-CO" w:bidi="es-ES"/>
        </w:rPr>
        <w:tab/>
        <w:t>tiempo en que fue construida la vía</w:t>
      </w:r>
    </w:p>
    <w:p w14:paraId="24D9295A" w14:textId="0BE0BD7A" w:rsidR="00F008A9" w:rsidRPr="00F008A9" w:rsidRDefault="00F008A9" w:rsidP="00F008A9">
      <w:pPr>
        <w:pStyle w:val="Textocomentario"/>
        <w:jc w:val="left"/>
        <w:rPr>
          <w:rFonts w:ascii="Garamond" w:hAnsi="Garamond" w:cs="Arial"/>
          <w:bCs/>
          <w:iCs/>
          <w:szCs w:val="22"/>
          <w:lang w:val="es-CO" w:eastAsia="es-CO" w:bidi="es-ES"/>
        </w:rPr>
      </w:pPr>
      <w:r w:rsidRPr="00F008A9">
        <w:rPr>
          <w:rFonts w:ascii="Garamond" w:hAnsi="Garamond" w:cs="Arial"/>
          <w:bCs/>
          <w:iCs/>
          <w:szCs w:val="22"/>
          <w:lang w:val="es-CO" w:eastAsia="es-CO" w:bidi="es-ES"/>
        </w:rPr>
        <w:t xml:space="preserve">Los parches son actividades de mantenimiento que se realizan dentro del ciclo de vida de la conservación a los </w:t>
      </w:r>
      <w:proofErr w:type="spellStart"/>
      <w:r w:rsidRPr="00F008A9">
        <w:rPr>
          <w:rFonts w:ascii="Garamond" w:hAnsi="Garamond" w:cs="Arial"/>
          <w:bCs/>
          <w:iCs/>
          <w:szCs w:val="22"/>
          <w:lang w:val="es-CO" w:eastAsia="es-CO" w:bidi="es-ES"/>
        </w:rPr>
        <w:t>CIVs</w:t>
      </w:r>
      <w:proofErr w:type="spellEnd"/>
      <w:r w:rsidRPr="00F008A9">
        <w:rPr>
          <w:rFonts w:ascii="Garamond" w:hAnsi="Garamond" w:cs="Arial"/>
          <w:bCs/>
          <w:iCs/>
          <w:szCs w:val="22"/>
          <w:lang w:val="es-CO" w:eastAsia="es-CO" w:bidi="es-ES"/>
        </w:rPr>
        <w:t xml:space="preserve"> intervenidos en su totalidad, durante el período de diseño de los mismos, es decir es una acción que evita dentro del proceso de la conservación el deterioro prematuro y no es una acción a largo plazo</w:t>
      </w:r>
      <w:r>
        <w:rPr>
          <w:rFonts w:ascii="Garamond" w:hAnsi="Garamond" w:cs="Arial"/>
          <w:bCs/>
          <w:iCs/>
          <w:szCs w:val="22"/>
          <w:lang w:val="es-CO" w:eastAsia="es-CO" w:bidi="es-ES"/>
        </w:rPr>
        <w:t>.</w:t>
      </w:r>
    </w:p>
    <w:p w14:paraId="0A41BCE8" w14:textId="77777777" w:rsidR="00F008A9" w:rsidRPr="00F008A9" w:rsidRDefault="00F008A9" w:rsidP="00F008A9">
      <w:pPr>
        <w:pBdr>
          <w:top w:val="nil"/>
          <w:left w:val="nil"/>
          <w:bottom w:val="nil"/>
          <w:right w:val="nil"/>
          <w:between w:val="nil"/>
        </w:pBdr>
        <w:ind w:right="304"/>
        <w:rPr>
          <w:rFonts w:ascii="Garamond" w:hAnsi="Garamond"/>
          <w:lang w:val="x-none"/>
        </w:rPr>
      </w:pPr>
    </w:p>
    <w:p w14:paraId="4CC4F7DA" w14:textId="1EBE6BFE" w:rsidR="00F008A9" w:rsidRPr="00F008A9" w:rsidRDefault="00F008A9" w:rsidP="00F008A9">
      <w:pPr>
        <w:pBdr>
          <w:top w:val="nil"/>
          <w:left w:val="nil"/>
          <w:bottom w:val="nil"/>
          <w:right w:val="nil"/>
          <w:between w:val="nil"/>
        </w:pBdr>
        <w:ind w:right="304"/>
        <w:rPr>
          <w:rFonts w:ascii="Garamond" w:hAnsi="Garamond"/>
        </w:rPr>
      </w:pPr>
      <w:r w:rsidRPr="00F008A9">
        <w:rPr>
          <w:rFonts w:ascii="Garamond" w:hAnsi="Garamond"/>
        </w:rPr>
        <w:t xml:space="preserve">De acuerdo al proceso misional de la UAERMV denominado portafolio oferta institucional la actividad tipo parcheo es el proceso de reparación en pequeñas áreas afectadas de la carpeta asfáltica, mediante la demolición, retiro y reemplazo de la misma y se encuentra catalogado como un mantenimiento periódico que no comprometen masivamente las capas inferiores de la estructura del pavimento, con el objetivo de lograr que se alcance o aumente </w:t>
      </w:r>
      <w:r w:rsidRPr="00F008A9">
        <w:rPr>
          <w:rFonts w:ascii="Garamond" w:hAnsi="Garamond"/>
        </w:rPr>
        <w:lastRenderedPageBreak/>
        <w:t>su vida útil, recuperando su condición de servicio inicial, constituyéndose así en una práctica preventiva o correctiva. por lo cual no requieren diseño previo para su implementación</w:t>
      </w:r>
    </w:p>
    <w:p w14:paraId="57B9743F" w14:textId="77777777" w:rsidR="00E90D2A" w:rsidRDefault="00E90D2A" w:rsidP="00E90D2A">
      <w:pPr>
        <w:spacing w:after="0" w:line="240" w:lineRule="auto"/>
        <w:ind w:right="45"/>
        <w:textAlignment w:val="baseline"/>
        <w:rPr>
          <w:rFonts w:ascii="Garamond" w:hAnsi="Garamond" w:cs="Arial"/>
        </w:rPr>
      </w:pPr>
    </w:p>
    <w:p w14:paraId="00AD71E0" w14:textId="77777777" w:rsidR="00E90D2A" w:rsidRDefault="00E90D2A" w:rsidP="00E90D2A">
      <w:pPr>
        <w:pStyle w:val="Ttulo1"/>
        <w:numPr>
          <w:ilvl w:val="0"/>
          <w:numId w:val="3"/>
        </w:numPr>
        <w:spacing w:before="0" w:after="0"/>
        <w:rPr>
          <w:rFonts w:ascii="Garamond" w:hAnsi="Garamond"/>
          <w:color w:val="auto"/>
          <w:sz w:val="22"/>
          <w:szCs w:val="22"/>
        </w:rPr>
      </w:pPr>
      <w:bookmarkStart w:id="20" w:name="_Toc172295951"/>
      <w:r w:rsidRPr="006E74A5">
        <w:rPr>
          <w:rFonts w:ascii="Garamond" w:hAnsi="Garamond"/>
          <w:color w:val="auto"/>
          <w:sz w:val="22"/>
          <w:szCs w:val="22"/>
        </w:rPr>
        <w:t>PRESENTACIÓN DE INFORMES</w:t>
      </w:r>
      <w:bookmarkEnd w:id="20"/>
    </w:p>
    <w:p w14:paraId="18F661D0" w14:textId="77777777" w:rsidR="00E90D2A" w:rsidRPr="00530D10" w:rsidRDefault="00E90D2A" w:rsidP="00E90D2A"/>
    <w:p w14:paraId="3F132E53" w14:textId="77777777" w:rsidR="00E90D2A" w:rsidRDefault="00E90D2A" w:rsidP="00E90D2A">
      <w:pPr>
        <w:pStyle w:val="Ttulo2"/>
        <w:numPr>
          <w:ilvl w:val="1"/>
          <w:numId w:val="0"/>
        </w:numPr>
        <w:spacing w:before="0"/>
        <w:ind w:left="1440" w:hanging="360"/>
        <w:rPr>
          <w:rFonts w:ascii="Garamond" w:hAnsi="Garamond"/>
          <w:sz w:val="22"/>
          <w:szCs w:val="22"/>
        </w:rPr>
      </w:pPr>
      <w:bookmarkStart w:id="21" w:name="_Toc170821836"/>
      <w:bookmarkStart w:id="22" w:name="_Toc172295952"/>
      <w:r>
        <w:rPr>
          <w:rFonts w:ascii="Garamond" w:hAnsi="Garamond"/>
          <w:sz w:val="22"/>
          <w:szCs w:val="22"/>
        </w:rPr>
        <w:t>INFORME POA</w:t>
      </w:r>
    </w:p>
    <w:p w14:paraId="5DE4E940" w14:textId="77777777" w:rsidR="00E90D2A" w:rsidRPr="00530D10" w:rsidRDefault="00E90D2A" w:rsidP="00E90D2A">
      <w:pPr>
        <w:rPr>
          <w:lang w:val="es-EC" w:eastAsia="en-US"/>
        </w:rPr>
      </w:pPr>
    </w:p>
    <w:p w14:paraId="31D51C29" w14:textId="6D4DB563" w:rsidR="00E90D2A" w:rsidRDefault="00E90D2A" w:rsidP="00E90D2A">
      <w:pPr>
        <w:rPr>
          <w:rFonts w:ascii="Garamond" w:hAnsi="Garamond" w:cs="Arial"/>
        </w:rPr>
      </w:pPr>
      <w:r w:rsidRPr="006E74A5">
        <w:rPr>
          <w:rFonts w:ascii="Garamond" w:hAnsi="Garamond" w:cs="Arial"/>
        </w:rPr>
        <w:t>El POA deberá ser presentado por parte de la UAERMV dentro de los (</w:t>
      </w:r>
      <w:r>
        <w:rPr>
          <w:rFonts w:ascii="Garamond" w:hAnsi="Garamond" w:cs="Arial"/>
        </w:rPr>
        <w:t>10</w:t>
      </w:r>
      <w:r w:rsidRPr="006E74A5">
        <w:rPr>
          <w:rFonts w:ascii="Garamond" w:hAnsi="Garamond" w:cs="Arial"/>
        </w:rPr>
        <w:t>) días</w:t>
      </w:r>
      <w:r>
        <w:rPr>
          <w:rFonts w:ascii="Garamond" w:hAnsi="Garamond" w:cs="Arial"/>
        </w:rPr>
        <w:t xml:space="preserve"> </w:t>
      </w:r>
      <w:r w:rsidR="008A5681">
        <w:rPr>
          <w:rFonts w:ascii="Garamond" w:hAnsi="Garamond" w:cs="Arial"/>
        </w:rPr>
        <w:t>hábiles</w:t>
      </w:r>
      <w:r w:rsidRPr="006E74A5">
        <w:rPr>
          <w:rFonts w:ascii="Garamond" w:hAnsi="Garamond" w:cs="Arial"/>
        </w:rPr>
        <w:t xml:space="preserve"> siguientes a la suscripción del acta de inicio para aprobación del supervisor del </w:t>
      </w:r>
      <w:r w:rsidR="00F323CB">
        <w:rPr>
          <w:rFonts w:ascii="Garamond" w:hAnsi="Garamond" w:cs="Arial"/>
        </w:rPr>
        <w:t>FDLM</w:t>
      </w:r>
      <w:r>
        <w:rPr>
          <w:rFonts w:ascii="Garamond" w:hAnsi="Garamond" w:cs="Arial"/>
        </w:rPr>
        <w:t>, Y deberá contener todo lo relacionado en el numera l 7 del presente anexo técnico.</w:t>
      </w:r>
    </w:p>
    <w:p w14:paraId="57A6178D" w14:textId="77777777" w:rsidR="00E90D2A" w:rsidRDefault="00E90D2A" w:rsidP="00E90D2A">
      <w:pPr>
        <w:pStyle w:val="Ttulo2"/>
        <w:numPr>
          <w:ilvl w:val="1"/>
          <w:numId w:val="0"/>
        </w:numPr>
        <w:spacing w:before="0"/>
        <w:ind w:left="1440" w:hanging="360"/>
        <w:rPr>
          <w:rFonts w:ascii="Garamond" w:hAnsi="Garamond"/>
          <w:sz w:val="22"/>
          <w:szCs w:val="22"/>
        </w:rPr>
      </w:pPr>
      <w:r w:rsidRPr="006E74A5">
        <w:rPr>
          <w:rFonts w:ascii="Garamond" w:hAnsi="Garamond"/>
          <w:sz w:val="22"/>
          <w:szCs w:val="22"/>
        </w:rPr>
        <w:t>INFORMES DE EJECUCIÓN TÉCNICA, ADMINISTRATIVA, FINANCIERA Y CONTABLE</w:t>
      </w:r>
      <w:bookmarkEnd w:id="21"/>
      <w:bookmarkEnd w:id="22"/>
    </w:p>
    <w:p w14:paraId="19E26114" w14:textId="77777777" w:rsidR="00E90D2A" w:rsidRPr="005175D0" w:rsidRDefault="00E90D2A" w:rsidP="00E90D2A">
      <w:pPr>
        <w:rPr>
          <w:lang w:val="es-EC" w:eastAsia="en-US"/>
        </w:rPr>
      </w:pPr>
    </w:p>
    <w:p w14:paraId="1CB3027A" w14:textId="19AA5CA2" w:rsidR="00E90D2A" w:rsidRPr="006E74A5" w:rsidRDefault="00E90D2A" w:rsidP="00E90D2A">
      <w:pPr>
        <w:spacing w:after="0" w:line="240" w:lineRule="auto"/>
        <w:ind w:right="45"/>
        <w:textAlignment w:val="baseline"/>
        <w:rPr>
          <w:rFonts w:ascii="Garamond" w:hAnsi="Garamond" w:cs="Arial"/>
        </w:rPr>
      </w:pPr>
      <w:r w:rsidRPr="006E74A5">
        <w:rPr>
          <w:rFonts w:ascii="Garamond" w:hAnsi="Garamond" w:cs="Arial"/>
        </w:rPr>
        <w:t xml:space="preserve">La UAERMV presentará al supervisor del convenio por parte del </w:t>
      </w:r>
      <w:r w:rsidR="00F323CB">
        <w:rPr>
          <w:rFonts w:ascii="Garamond" w:hAnsi="Garamond" w:cs="Arial"/>
        </w:rPr>
        <w:t>FDLM</w:t>
      </w:r>
      <w:r w:rsidRPr="006E74A5">
        <w:rPr>
          <w:rFonts w:ascii="Garamond" w:hAnsi="Garamond" w:cs="Arial"/>
        </w:rPr>
        <w:t xml:space="preserve">, reportes </w:t>
      </w:r>
      <w:r>
        <w:rPr>
          <w:rFonts w:ascii="Garamond" w:hAnsi="Garamond" w:cs="Arial"/>
        </w:rPr>
        <w:t xml:space="preserve">semanales </w:t>
      </w:r>
      <w:r w:rsidRPr="006E74A5">
        <w:rPr>
          <w:rFonts w:ascii="Garamond" w:hAnsi="Garamond" w:cs="Arial"/>
        </w:rPr>
        <w:t>ejecutivos de acuerdo con el formato que para tal efecto le indique e informes mensuales de ejecución técnica, administrativa, financiera</w:t>
      </w:r>
      <w:r>
        <w:rPr>
          <w:rFonts w:ascii="Garamond" w:hAnsi="Garamond" w:cs="Arial"/>
        </w:rPr>
        <w:t xml:space="preserve">, </w:t>
      </w:r>
      <w:r w:rsidRPr="006E74A5">
        <w:rPr>
          <w:rFonts w:ascii="Garamond" w:hAnsi="Garamond" w:cs="Arial"/>
        </w:rPr>
        <w:t>jurídica y contable del convenio, a partir de la orden de inicio, en medio magnético</w:t>
      </w:r>
      <w:r>
        <w:rPr>
          <w:rFonts w:ascii="Garamond" w:hAnsi="Garamond" w:cs="Arial"/>
        </w:rPr>
        <w:t xml:space="preserve"> editable</w:t>
      </w:r>
      <w:r w:rsidRPr="006E74A5">
        <w:rPr>
          <w:rFonts w:ascii="Garamond" w:hAnsi="Garamond" w:cs="Arial"/>
        </w:rPr>
        <w:t xml:space="preserve">. Estos informes deberán ser firmados por </w:t>
      </w:r>
      <w:r>
        <w:rPr>
          <w:rFonts w:ascii="Garamond" w:hAnsi="Garamond" w:cs="Arial"/>
        </w:rPr>
        <w:t xml:space="preserve">los responsables de su diligenciamiento y el supervisor del contrato por parte del </w:t>
      </w:r>
      <w:r w:rsidR="00F323CB">
        <w:rPr>
          <w:rFonts w:ascii="Garamond" w:hAnsi="Garamond" w:cs="Arial"/>
        </w:rPr>
        <w:t>FDLM</w:t>
      </w:r>
      <w:r w:rsidRPr="006E74A5">
        <w:rPr>
          <w:rFonts w:ascii="Garamond" w:hAnsi="Garamond" w:cs="Arial"/>
        </w:rPr>
        <w:t>.</w:t>
      </w:r>
    </w:p>
    <w:p w14:paraId="1A72BD5E" w14:textId="77777777" w:rsidR="00E90D2A" w:rsidRPr="006E74A5" w:rsidRDefault="00E90D2A" w:rsidP="00E90D2A">
      <w:pPr>
        <w:spacing w:after="0" w:line="240" w:lineRule="auto"/>
        <w:ind w:right="45"/>
        <w:textAlignment w:val="baseline"/>
        <w:rPr>
          <w:rFonts w:ascii="Garamond" w:hAnsi="Garamond" w:cs="Arial"/>
        </w:rPr>
      </w:pPr>
    </w:p>
    <w:p w14:paraId="3ED777B8" w14:textId="77777777" w:rsidR="00E90D2A" w:rsidRPr="006E74A5" w:rsidRDefault="00E90D2A" w:rsidP="00E90D2A">
      <w:pPr>
        <w:spacing w:after="0" w:line="240" w:lineRule="auto"/>
        <w:ind w:right="45"/>
        <w:textAlignment w:val="baseline"/>
        <w:rPr>
          <w:rFonts w:ascii="Garamond" w:hAnsi="Garamond" w:cs="Arial"/>
        </w:rPr>
      </w:pPr>
      <w:r w:rsidRPr="006E74A5">
        <w:rPr>
          <w:rFonts w:ascii="Garamond" w:hAnsi="Garamond" w:cs="Arial"/>
        </w:rPr>
        <w:t xml:space="preserve">Al ejecutarse al 100% las actividades contractuales y dentro del plazo previsto para la etapa de cierre del convenio, </w:t>
      </w:r>
      <w:proofErr w:type="spellStart"/>
      <w:r w:rsidRPr="006E74A5">
        <w:rPr>
          <w:rFonts w:ascii="Garamond" w:hAnsi="Garamond" w:cs="Arial"/>
        </w:rPr>
        <w:t>el</w:t>
      </w:r>
      <w:proofErr w:type="spellEnd"/>
      <w:r w:rsidRPr="006E74A5">
        <w:rPr>
          <w:rFonts w:ascii="Garamond" w:hAnsi="Garamond" w:cs="Arial"/>
        </w:rPr>
        <w:t xml:space="preserve"> </w:t>
      </w:r>
      <w:r>
        <w:rPr>
          <w:rFonts w:ascii="Garamond" w:hAnsi="Garamond" w:cs="Arial"/>
        </w:rPr>
        <w:t xml:space="preserve">se </w:t>
      </w:r>
      <w:r w:rsidRPr="006E74A5">
        <w:rPr>
          <w:rFonts w:ascii="Garamond" w:hAnsi="Garamond" w:cs="Arial"/>
        </w:rPr>
        <w:t>deberá presentar un informe final del convenio en el que se consolide la información del proceso desarrollado incluyendo las actividades en cada una de las etapas del convenio y según lo dispuesto dentro del Manual de contratación y supervisión vigente.</w:t>
      </w:r>
    </w:p>
    <w:p w14:paraId="6B18AD00" w14:textId="77777777" w:rsidR="00E90D2A" w:rsidRPr="006E74A5" w:rsidRDefault="00E90D2A" w:rsidP="00E90D2A">
      <w:pPr>
        <w:spacing w:after="0" w:line="240" w:lineRule="auto"/>
        <w:ind w:right="45"/>
        <w:textAlignment w:val="baseline"/>
        <w:rPr>
          <w:rFonts w:ascii="Garamond" w:hAnsi="Garamond" w:cs="Arial"/>
        </w:rPr>
      </w:pPr>
    </w:p>
    <w:p w14:paraId="2CB1CD11" w14:textId="77777777" w:rsidR="00E90D2A" w:rsidRDefault="00E90D2A" w:rsidP="00E90D2A">
      <w:pPr>
        <w:pStyle w:val="Ttulo2"/>
        <w:numPr>
          <w:ilvl w:val="1"/>
          <w:numId w:val="3"/>
        </w:numPr>
        <w:spacing w:before="0"/>
        <w:rPr>
          <w:rFonts w:ascii="Garamond" w:hAnsi="Garamond"/>
          <w:sz w:val="22"/>
          <w:szCs w:val="22"/>
        </w:rPr>
      </w:pPr>
      <w:bookmarkStart w:id="23" w:name="_Toc170821837"/>
      <w:bookmarkStart w:id="24" w:name="_Toc172295953"/>
      <w:r w:rsidRPr="006E74A5">
        <w:rPr>
          <w:rFonts w:ascii="Garamond" w:hAnsi="Garamond"/>
          <w:sz w:val="22"/>
          <w:szCs w:val="22"/>
        </w:rPr>
        <w:t>CONTENIDO DE LOS INFORMES SEMANALES</w:t>
      </w:r>
      <w:bookmarkEnd w:id="23"/>
      <w:bookmarkEnd w:id="24"/>
    </w:p>
    <w:p w14:paraId="3C14C697" w14:textId="77777777" w:rsidR="00E90D2A" w:rsidRDefault="00E90D2A" w:rsidP="00E90D2A">
      <w:pPr>
        <w:spacing w:after="0" w:line="240" w:lineRule="auto"/>
        <w:ind w:right="45"/>
        <w:textAlignment w:val="baseline"/>
        <w:rPr>
          <w:rFonts w:ascii="Garamond" w:hAnsi="Garamond" w:cs="Arial"/>
        </w:rPr>
      </w:pPr>
    </w:p>
    <w:p w14:paraId="0413584A" w14:textId="04D3FBE2" w:rsidR="00E90D2A" w:rsidRPr="006E74A5" w:rsidRDefault="00E90D2A" w:rsidP="00E90D2A">
      <w:pPr>
        <w:spacing w:after="0" w:line="240" w:lineRule="auto"/>
        <w:ind w:right="45"/>
        <w:textAlignment w:val="baseline"/>
        <w:rPr>
          <w:rFonts w:ascii="Garamond" w:hAnsi="Garamond" w:cs="Arial"/>
        </w:rPr>
      </w:pPr>
      <w:r w:rsidRPr="006E74A5">
        <w:rPr>
          <w:rFonts w:ascii="Garamond" w:hAnsi="Garamond" w:cs="Arial"/>
        </w:rPr>
        <w:t xml:space="preserve">Este informe de avance deberá realizarlo la UAERMV en formato suministrado por el supervisor del convenio por parte del </w:t>
      </w:r>
      <w:r w:rsidR="00F323CB">
        <w:rPr>
          <w:rFonts w:ascii="Garamond" w:hAnsi="Garamond" w:cs="Arial"/>
        </w:rPr>
        <w:t>FDLM</w:t>
      </w:r>
      <w:r w:rsidRPr="006E74A5">
        <w:rPr>
          <w:rFonts w:ascii="Garamond" w:hAnsi="Garamond" w:cs="Arial"/>
        </w:rPr>
        <w:t>, el lunes siguiente al periodo reportado, en el que se reporte el avance programado y ejecutado técnico y financiero del convenio.</w:t>
      </w:r>
    </w:p>
    <w:p w14:paraId="752EC2A8" w14:textId="77777777" w:rsidR="00E90D2A" w:rsidRPr="006E74A5" w:rsidRDefault="00E90D2A" w:rsidP="00E90D2A">
      <w:pPr>
        <w:spacing w:after="0" w:line="240" w:lineRule="auto"/>
        <w:ind w:right="45"/>
        <w:textAlignment w:val="baseline"/>
        <w:rPr>
          <w:rFonts w:ascii="Garamond" w:hAnsi="Garamond" w:cs="Arial"/>
        </w:rPr>
      </w:pPr>
    </w:p>
    <w:p w14:paraId="1DEE9494" w14:textId="77777777" w:rsidR="00E90D2A" w:rsidRPr="006E74A5" w:rsidRDefault="00E90D2A" w:rsidP="00E90D2A">
      <w:pPr>
        <w:pStyle w:val="Ttulo2"/>
        <w:numPr>
          <w:ilvl w:val="1"/>
          <w:numId w:val="3"/>
        </w:numPr>
        <w:spacing w:before="0"/>
        <w:rPr>
          <w:rFonts w:ascii="Garamond" w:hAnsi="Garamond"/>
          <w:sz w:val="22"/>
          <w:szCs w:val="22"/>
        </w:rPr>
      </w:pPr>
      <w:bookmarkStart w:id="25" w:name="_Toc170821838"/>
      <w:bookmarkStart w:id="26" w:name="_Toc172295954"/>
      <w:r w:rsidRPr="006E74A5">
        <w:rPr>
          <w:rFonts w:ascii="Garamond" w:hAnsi="Garamond"/>
          <w:sz w:val="22"/>
          <w:szCs w:val="22"/>
        </w:rPr>
        <w:t>CONTENIDO DE LOS INFORMES MENSUALES</w:t>
      </w:r>
      <w:bookmarkEnd w:id="25"/>
      <w:bookmarkEnd w:id="26"/>
    </w:p>
    <w:p w14:paraId="64C6BAD2" w14:textId="77777777" w:rsidR="00E90D2A" w:rsidRDefault="00E90D2A" w:rsidP="00E90D2A">
      <w:pPr>
        <w:spacing w:after="0" w:line="240" w:lineRule="auto"/>
        <w:rPr>
          <w:rFonts w:ascii="Garamond" w:hAnsi="Garamond"/>
          <w:lang w:val="es-EC" w:eastAsia="en-US"/>
        </w:rPr>
      </w:pPr>
    </w:p>
    <w:p w14:paraId="36F9E7F3" w14:textId="77777777" w:rsidR="00E90D2A" w:rsidRPr="006E74A5" w:rsidRDefault="00E90D2A" w:rsidP="00E90D2A">
      <w:pPr>
        <w:spacing w:after="0" w:line="240" w:lineRule="auto"/>
        <w:rPr>
          <w:rFonts w:ascii="Garamond" w:hAnsi="Garamond"/>
          <w:lang w:val="es-EC" w:eastAsia="en-US"/>
        </w:rPr>
      </w:pPr>
      <w:r w:rsidRPr="006E74A5">
        <w:rPr>
          <w:rFonts w:ascii="Garamond" w:hAnsi="Garamond"/>
          <w:lang w:val="es-EC" w:eastAsia="en-US"/>
        </w:rPr>
        <w:t>Además de las actividades ejecutadas para el cumplimiento de las obligaciones del convenio, e</w:t>
      </w:r>
      <w:r w:rsidRPr="006E74A5">
        <w:rPr>
          <w:rFonts w:ascii="Garamond" w:hAnsi="Garamond" w:cs="Arial"/>
        </w:rPr>
        <w:t>l informe contendrá:</w:t>
      </w:r>
    </w:p>
    <w:p w14:paraId="2C443111" w14:textId="77777777" w:rsidR="00E90D2A" w:rsidRDefault="00E90D2A" w:rsidP="00E90D2A">
      <w:pPr>
        <w:spacing w:after="0" w:line="240" w:lineRule="auto"/>
        <w:textAlignment w:val="baseline"/>
        <w:rPr>
          <w:rFonts w:ascii="Garamond" w:hAnsi="Garamond" w:cs="Arial"/>
        </w:rPr>
      </w:pPr>
    </w:p>
    <w:p w14:paraId="4F1B2035" w14:textId="77777777" w:rsidR="00E90D2A" w:rsidRPr="006E74A5" w:rsidRDefault="00E90D2A" w:rsidP="00E90D2A">
      <w:pPr>
        <w:spacing w:after="0" w:line="240" w:lineRule="auto"/>
        <w:textAlignment w:val="baseline"/>
        <w:rPr>
          <w:rFonts w:ascii="Garamond" w:hAnsi="Garamond" w:cs="Arial"/>
        </w:rPr>
      </w:pPr>
      <w:r w:rsidRPr="006E74A5">
        <w:rPr>
          <w:rFonts w:ascii="Garamond" w:hAnsi="Garamond" w:cs="Arial"/>
        </w:rPr>
        <w:t>1. Las actividades ejecutadas de acuerdo con el cronograma aprobado, donde se evidencie el porcentaje de ejecución, con los respectivos soportes y registro fotográfico y/o fílmico (que permita establecer el antes, durante y después de las obras ejecutadas), y debe</w:t>
      </w:r>
      <w:r>
        <w:rPr>
          <w:rFonts w:ascii="Garamond" w:hAnsi="Garamond" w:cs="Arial"/>
        </w:rPr>
        <w:t>rá ser entregado dentro de los diez (10</w:t>
      </w:r>
      <w:r w:rsidRPr="006E74A5">
        <w:rPr>
          <w:rFonts w:ascii="Garamond" w:hAnsi="Garamond" w:cs="Arial"/>
        </w:rPr>
        <w:t xml:space="preserve">) primeros días </w:t>
      </w:r>
      <w:r>
        <w:rPr>
          <w:rFonts w:ascii="Garamond" w:hAnsi="Garamond" w:cs="Arial"/>
        </w:rPr>
        <w:t xml:space="preserve">hábiles </w:t>
      </w:r>
      <w:r w:rsidRPr="006E74A5">
        <w:rPr>
          <w:rFonts w:ascii="Garamond" w:hAnsi="Garamond" w:cs="Arial"/>
        </w:rPr>
        <w:t>del mes siguiente al período reportado. El período reportado se realizará con corte al último día de cada mes.</w:t>
      </w:r>
    </w:p>
    <w:p w14:paraId="5EAF7296" w14:textId="77777777" w:rsidR="00E90D2A" w:rsidRDefault="00E90D2A" w:rsidP="00E90D2A">
      <w:pPr>
        <w:spacing w:after="0" w:line="240" w:lineRule="auto"/>
        <w:textAlignment w:val="baseline"/>
        <w:rPr>
          <w:rFonts w:ascii="Garamond" w:hAnsi="Garamond" w:cs="Arial"/>
        </w:rPr>
      </w:pPr>
      <w:r w:rsidRPr="006E74A5">
        <w:rPr>
          <w:rFonts w:ascii="Garamond" w:hAnsi="Garamond" w:cs="Arial"/>
        </w:rPr>
        <w:t>2. Datos completos del convenio.</w:t>
      </w:r>
    </w:p>
    <w:p w14:paraId="0BCBBC76" w14:textId="77777777" w:rsidR="00E90D2A" w:rsidRPr="006E74A5" w:rsidRDefault="00E90D2A" w:rsidP="00E90D2A">
      <w:pPr>
        <w:spacing w:after="0" w:line="240" w:lineRule="auto"/>
        <w:textAlignment w:val="baseline"/>
        <w:rPr>
          <w:rFonts w:ascii="Garamond" w:hAnsi="Garamond" w:cs="Arial"/>
        </w:rPr>
      </w:pPr>
      <w:r w:rsidRPr="006E74A5">
        <w:rPr>
          <w:rFonts w:ascii="Garamond" w:hAnsi="Garamond" w:cs="Arial"/>
        </w:rPr>
        <w:t>3. Descripción general de la obra: segmento, condiciones iniciales, ajustes, acuerdos y condiciones finales de ejecución.</w:t>
      </w:r>
    </w:p>
    <w:p w14:paraId="2209B7C9" w14:textId="77777777" w:rsidR="00E90D2A" w:rsidRPr="006E74A5" w:rsidRDefault="00E90D2A" w:rsidP="00E90D2A">
      <w:pPr>
        <w:spacing w:after="0" w:line="240" w:lineRule="auto"/>
        <w:textAlignment w:val="baseline"/>
        <w:rPr>
          <w:rFonts w:ascii="Garamond" w:hAnsi="Garamond" w:cs="Arial"/>
        </w:rPr>
      </w:pPr>
      <w:r w:rsidRPr="006E74A5">
        <w:rPr>
          <w:rFonts w:ascii="Garamond" w:hAnsi="Garamond" w:cs="Arial"/>
        </w:rPr>
        <w:t>4. Descripción de la ejecución administrativa de acuerdo con las obligaciones contractuales.</w:t>
      </w:r>
    </w:p>
    <w:p w14:paraId="69DC6758" w14:textId="77777777" w:rsidR="00E90D2A" w:rsidRPr="006E74A5" w:rsidRDefault="00E90D2A" w:rsidP="00E90D2A">
      <w:pPr>
        <w:spacing w:after="0" w:line="240" w:lineRule="auto"/>
        <w:textAlignment w:val="baseline"/>
        <w:rPr>
          <w:rFonts w:ascii="Garamond" w:hAnsi="Garamond" w:cs="Arial"/>
        </w:rPr>
      </w:pPr>
      <w:r w:rsidRPr="006E74A5">
        <w:rPr>
          <w:rFonts w:ascii="Garamond" w:hAnsi="Garamond" w:cs="Arial"/>
        </w:rPr>
        <w:t>5. Informe financiero, que deberá contener mínimo la siguiente información:</w:t>
      </w:r>
    </w:p>
    <w:p w14:paraId="47758631" w14:textId="77777777" w:rsidR="00E90D2A" w:rsidRPr="006E74A5" w:rsidRDefault="00E90D2A" w:rsidP="00E90D2A">
      <w:pPr>
        <w:numPr>
          <w:ilvl w:val="0"/>
          <w:numId w:val="33"/>
        </w:numPr>
        <w:spacing w:after="0" w:line="240" w:lineRule="auto"/>
        <w:ind w:left="1800" w:firstLine="0"/>
        <w:textAlignment w:val="baseline"/>
        <w:rPr>
          <w:rFonts w:ascii="Garamond" w:hAnsi="Garamond" w:cs="Arial"/>
        </w:rPr>
      </w:pPr>
      <w:r>
        <w:rPr>
          <w:rFonts w:ascii="Garamond" w:hAnsi="Garamond" w:cs="Arial"/>
        </w:rPr>
        <w:t>V</w:t>
      </w:r>
      <w:r w:rsidRPr="006E74A5">
        <w:rPr>
          <w:rFonts w:ascii="Garamond" w:hAnsi="Garamond" w:cs="Arial"/>
        </w:rPr>
        <w:t>alor del convenio.</w:t>
      </w:r>
    </w:p>
    <w:p w14:paraId="02A9DCDF" w14:textId="72AF1251" w:rsidR="00E90D2A" w:rsidRPr="006E74A5" w:rsidRDefault="00E90D2A" w:rsidP="00E90D2A">
      <w:pPr>
        <w:numPr>
          <w:ilvl w:val="0"/>
          <w:numId w:val="33"/>
        </w:numPr>
        <w:spacing w:after="0" w:line="240" w:lineRule="auto"/>
        <w:ind w:left="1800" w:firstLine="0"/>
        <w:textAlignment w:val="baseline"/>
        <w:rPr>
          <w:rFonts w:ascii="Garamond" w:hAnsi="Garamond" w:cs="Arial"/>
        </w:rPr>
      </w:pPr>
      <w:r>
        <w:rPr>
          <w:rFonts w:ascii="Garamond" w:hAnsi="Garamond" w:cs="Arial"/>
        </w:rPr>
        <w:t>V</w:t>
      </w:r>
      <w:r w:rsidRPr="006E74A5">
        <w:rPr>
          <w:rFonts w:ascii="Garamond" w:hAnsi="Garamond" w:cs="Arial"/>
        </w:rPr>
        <w:t xml:space="preserve">alor desembolsado por el </w:t>
      </w:r>
      <w:r w:rsidR="00F323CB">
        <w:rPr>
          <w:rFonts w:ascii="Garamond" w:hAnsi="Garamond" w:cs="Arial"/>
        </w:rPr>
        <w:t>FDLM</w:t>
      </w:r>
    </w:p>
    <w:p w14:paraId="498B0D09" w14:textId="77777777" w:rsidR="00E90D2A" w:rsidRPr="006E74A5" w:rsidRDefault="00E90D2A" w:rsidP="00E90D2A">
      <w:pPr>
        <w:numPr>
          <w:ilvl w:val="0"/>
          <w:numId w:val="33"/>
        </w:numPr>
        <w:spacing w:after="0" w:line="240" w:lineRule="auto"/>
        <w:ind w:left="1800" w:firstLine="0"/>
        <w:textAlignment w:val="baseline"/>
        <w:rPr>
          <w:rFonts w:ascii="Garamond" w:hAnsi="Garamond" w:cs="Arial"/>
        </w:rPr>
      </w:pPr>
      <w:r>
        <w:rPr>
          <w:rFonts w:ascii="Garamond" w:hAnsi="Garamond" w:cs="Arial"/>
        </w:rPr>
        <w:t>V</w:t>
      </w:r>
      <w:r w:rsidRPr="006E74A5">
        <w:rPr>
          <w:rFonts w:ascii="Garamond" w:hAnsi="Garamond" w:cs="Arial"/>
        </w:rPr>
        <w:t>alor ejecutado</w:t>
      </w:r>
    </w:p>
    <w:p w14:paraId="767FEAAF" w14:textId="77777777" w:rsidR="00E90D2A" w:rsidRDefault="00E90D2A" w:rsidP="00E90D2A">
      <w:pPr>
        <w:numPr>
          <w:ilvl w:val="0"/>
          <w:numId w:val="33"/>
        </w:numPr>
        <w:spacing w:after="0" w:line="240" w:lineRule="auto"/>
        <w:ind w:left="1800" w:firstLine="0"/>
        <w:textAlignment w:val="baseline"/>
        <w:rPr>
          <w:rFonts w:ascii="Garamond" w:hAnsi="Garamond" w:cs="Arial"/>
        </w:rPr>
      </w:pPr>
      <w:r>
        <w:rPr>
          <w:rFonts w:ascii="Garamond" w:hAnsi="Garamond" w:cs="Arial"/>
        </w:rPr>
        <w:t>S</w:t>
      </w:r>
      <w:r w:rsidRPr="006E74A5">
        <w:rPr>
          <w:rFonts w:ascii="Garamond" w:hAnsi="Garamond" w:cs="Arial"/>
        </w:rPr>
        <w:t>aldo del convenio</w:t>
      </w:r>
    </w:p>
    <w:p w14:paraId="245B394E" w14:textId="77777777" w:rsidR="00E90D2A" w:rsidRDefault="00E90D2A" w:rsidP="00E90D2A">
      <w:pPr>
        <w:numPr>
          <w:ilvl w:val="0"/>
          <w:numId w:val="33"/>
        </w:numPr>
        <w:spacing w:after="0" w:line="240" w:lineRule="auto"/>
        <w:ind w:left="1800" w:firstLine="0"/>
        <w:textAlignment w:val="baseline"/>
        <w:rPr>
          <w:rFonts w:ascii="Garamond" w:hAnsi="Garamond" w:cs="Arial"/>
        </w:rPr>
      </w:pPr>
      <w:r>
        <w:rPr>
          <w:rFonts w:ascii="Garamond" w:hAnsi="Garamond" w:cs="Arial"/>
        </w:rPr>
        <w:t>Estado de Bolsa de imprevistos y soportes.</w:t>
      </w:r>
    </w:p>
    <w:p w14:paraId="5AB23762" w14:textId="77777777" w:rsidR="00E90D2A" w:rsidRPr="006E74A5" w:rsidRDefault="00E90D2A" w:rsidP="00E90D2A">
      <w:pPr>
        <w:spacing w:after="0" w:line="240" w:lineRule="auto"/>
        <w:textAlignment w:val="baseline"/>
        <w:rPr>
          <w:rFonts w:ascii="Garamond" w:hAnsi="Garamond" w:cs="Arial"/>
        </w:rPr>
      </w:pPr>
      <w:r w:rsidRPr="006E74A5">
        <w:rPr>
          <w:rFonts w:ascii="Garamond" w:hAnsi="Garamond" w:cs="Arial"/>
        </w:rPr>
        <w:t>6. Conclusiones y recomendaciones.</w:t>
      </w:r>
    </w:p>
    <w:p w14:paraId="02038079" w14:textId="77777777" w:rsidR="00E90D2A" w:rsidRDefault="00E90D2A" w:rsidP="00E90D2A">
      <w:pPr>
        <w:spacing w:after="0" w:line="240" w:lineRule="auto"/>
        <w:textAlignment w:val="baseline"/>
        <w:rPr>
          <w:rFonts w:ascii="Garamond" w:hAnsi="Garamond" w:cs="Arial"/>
        </w:rPr>
      </w:pPr>
      <w:r w:rsidRPr="006E74A5">
        <w:rPr>
          <w:rFonts w:ascii="Garamond" w:hAnsi="Garamond" w:cs="Arial"/>
        </w:rPr>
        <w:t>7. Anexos: las actas de comité técnico operativo y demás documentos resultados de las actividades desarrolladas.</w:t>
      </w:r>
      <w:bookmarkStart w:id="27" w:name="_Toc170821839"/>
    </w:p>
    <w:p w14:paraId="5B645B93" w14:textId="77777777" w:rsidR="00E90D2A" w:rsidRDefault="00E90D2A" w:rsidP="00E90D2A">
      <w:pPr>
        <w:spacing w:after="0" w:line="240" w:lineRule="auto"/>
        <w:textAlignment w:val="baseline"/>
        <w:rPr>
          <w:rFonts w:ascii="Garamond" w:hAnsi="Garamond" w:cs="Arial"/>
        </w:rPr>
      </w:pPr>
    </w:p>
    <w:p w14:paraId="341A0A65" w14:textId="77777777" w:rsidR="00E90D2A" w:rsidRPr="006E74A5" w:rsidRDefault="00E90D2A" w:rsidP="00E90D2A">
      <w:pPr>
        <w:spacing w:after="0" w:line="240" w:lineRule="auto"/>
        <w:textAlignment w:val="baseline"/>
        <w:rPr>
          <w:rFonts w:ascii="Garamond" w:hAnsi="Garamond" w:cs="Arial"/>
        </w:rPr>
      </w:pPr>
    </w:p>
    <w:p w14:paraId="660D9610" w14:textId="77777777" w:rsidR="00E90D2A" w:rsidRPr="006E74A5" w:rsidRDefault="00E90D2A" w:rsidP="00E90D2A">
      <w:pPr>
        <w:spacing w:after="0" w:line="240" w:lineRule="auto"/>
        <w:ind w:left="1290"/>
        <w:textAlignment w:val="baseline"/>
        <w:rPr>
          <w:rFonts w:ascii="Garamond" w:hAnsi="Garamond" w:cs="Arial"/>
        </w:rPr>
      </w:pPr>
    </w:p>
    <w:p w14:paraId="3242C7B1" w14:textId="77777777" w:rsidR="00E90D2A" w:rsidRPr="006E74A5" w:rsidRDefault="00E90D2A" w:rsidP="00E90D2A">
      <w:pPr>
        <w:pStyle w:val="Ttulo2"/>
        <w:numPr>
          <w:ilvl w:val="1"/>
          <w:numId w:val="3"/>
        </w:numPr>
        <w:spacing w:before="0"/>
        <w:rPr>
          <w:rFonts w:ascii="Garamond" w:hAnsi="Garamond"/>
          <w:sz w:val="22"/>
          <w:szCs w:val="22"/>
        </w:rPr>
      </w:pPr>
      <w:bookmarkStart w:id="28" w:name="_Toc172295955"/>
      <w:r w:rsidRPr="006E74A5">
        <w:rPr>
          <w:rFonts w:ascii="Garamond" w:hAnsi="Garamond"/>
          <w:sz w:val="22"/>
          <w:szCs w:val="22"/>
        </w:rPr>
        <w:t>INFORME FINAL DEL CONVENIO</w:t>
      </w:r>
      <w:bookmarkEnd w:id="27"/>
      <w:bookmarkEnd w:id="28"/>
      <w:r w:rsidRPr="006E74A5">
        <w:rPr>
          <w:rFonts w:ascii="Garamond" w:hAnsi="Garamond"/>
          <w:sz w:val="22"/>
          <w:szCs w:val="22"/>
        </w:rPr>
        <w:t> </w:t>
      </w:r>
    </w:p>
    <w:p w14:paraId="46F3B003" w14:textId="77777777" w:rsidR="00E90D2A" w:rsidRPr="006E74A5" w:rsidRDefault="00E90D2A" w:rsidP="00E90D2A">
      <w:pPr>
        <w:spacing w:after="0" w:line="240" w:lineRule="auto"/>
        <w:ind w:right="45"/>
        <w:textAlignment w:val="baseline"/>
        <w:rPr>
          <w:rFonts w:ascii="Garamond" w:hAnsi="Garamond" w:cs="Arial"/>
        </w:rPr>
      </w:pPr>
    </w:p>
    <w:p w14:paraId="0DB42D59" w14:textId="6654E0F6" w:rsidR="00E90D2A" w:rsidRPr="00C971E5" w:rsidRDefault="00E90D2A" w:rsidP="00E90D2A">
      <w:pPr>
        <w:spacing w:after="0" w:line="240" w:lineRule="auto"/>
        <w:ind w:right="45"/>
        <w:textAlignment w:val="baseline"/>
        <w:rPr>
          <w:rFonts w:ascii="Garamond" w:hAnsi="Garamond" w:cs="Arial"/>
        </w:rPr>
      </w:pPr>
      <w:r w:rsidRPr="00C971E5">
        <w:rPr>
          <w:rFonts w:ascii="Garamond" w:hAnsi="Garamond" w:cs="Arial"/>
        </w:rPr>
        <w:t xml:space="preserve">La UAERMV entregará a la supervisión del </w:t>
      </w:r>
      <w:r w:rsidR="00F323CB">
        <w:rPr>
          <w:rFonts w:ascii="Garamond" w:hAnsi="Garamond" w:cs="Arial"/>
        </w:rPr>
        <w:t>FDLM</w:t>
      </w:r>
      <w:r w:rsidRPr="00C971E5">
        <w:rPr>
          <w:rFonts w:ascii="Garamond" w:hAnsi="Garamond" w:cs="Arial"/>
        </w:rPr>
        <w:t xml:space="preserve">, al terminar la ejecución del convenio, un informe final que contenga la información consolidada del convenio </w:t>
      </w:r>
    </w:p>
    <w:p w14:paraId="543C6308" w14:textId="77777777" w:rsidR="00E90D2A" w:rsidRPr="00C971E5" w:rsidRDefault="00E90D2A" w:rsidP="00E90D2A">
      <w:pPr>
        <w:spacing w:after="0" w:line="240" w:lineRule="auto"/>
        <w:ind w:right="45"/>
        <w:textAlignment w:val="baseline"/>
        <w:rPr>
          <w:rFonts w:ascii="Garamond" w:hAnsi="Garamond" w:cs="Arial"/>
        </w:rPr>
      </w:pPr>
    </w:p>
    <w:p w14:paraId="2BB0107C" w14:textId="00912F93" w:rsidR="00E90D2A" w:rsidRPr="00C971E5" w:rsidRDefault="00E90D2A" w:rsidP="00E90D2A">
      <w:pPr>
        <w:spacing w:after="0" w:line="240" w:lineRule="auto"/>
        <w:ind w:right="45"/>
        <w:textAlignment w:val="baseline"/>
        <w:rPr>
          <w:rFonts w:ascii="Garamond" w:hAnsi="Garamond" w:cs="Arial"/>
        </w:rPr>
      </w:pPr>
      <w:r w:rsidRPr="00C971E5">
        <w:rPr>
          <w:rFonts w:ascii="Garamond" w:hAnsi="Garamond" w:cs="Arial"/>
        </w:rPr>
        <w:t xml:space="preserve">Este informe debe ser entregado dentro del mes siguiente a la fecha de terminación del plazo del convenio, sin perjuicio de los informes adicionales que le sean solicitados por el supervisor del </w:t>
      </w:r>
      <w:r w:rsidR="00F323CB">
        <w:rPr>
          <w:rFonts w:ascii="Garamond" w:hAnsi="Garamond" w:cs="Arial"/>
        </w:rPr>
        <w:t>FDLM</w:t>
      </w:r>
      <w:r w:rsidRPr="00C971E5">
        <w:rPr>
          <w:rFonts w:ascii="Garamond" w:hAnsi="Garamond" w:cs="Arial"/>
        </w:rPr>
        <w:t>.</w:t>
      </w:r>
    </w:p>
    <w:p w14:paraId="1C753213" w14:textId="77777777" w:rsidR="00E90D2A" w:rsidRPr="00C971E5" w:rsidRDefault="00E90D2A" w:rsidP="00E90D2A">
      <w:pPr>
        <w:spacing w:after="0" w:line="240" w:lineRule="auto"/>
        <w:ind w:right="45"/>
        <w:textAlignment w:val="baseline"/>
        <w:rPr>
          <w:rFonts w:ascii="Garamond" w:hAnsi="Garamond" w:cs="Arial"/>
        </w:rPr>
      </w:pPr>
    </w:p>
    <w:p w14:paraId="570ED240" w14:textId="77777777" w:rsidR="00E90D2A" w:rsidRPr="00C971E5" w:rsidRDefault="00E90D2A" w:rsidP="00E90D2A">
      <w:pPr>
        <w:spacing w:after="0" w:line="240" w:lineRule="auto"/>
        <w:ind w:right="45"/>
        <w:textAlignment w:val="baseline"/>
        <w:rPr>
          <w:rFonts w:ascii="Garamond" w:hAnsi="Garamond" w:cs="Arial"/>
        </w:rPr>
      </w:pPr>
      <w:r w:rsidRPr="00C971E5">
        <w:rPr>
          <w:rFonts w:ascii="Garamond" w:hAnsi="Garamond" w:cs="Arial"/>
        </w:rPr>
        <w:t>El Informe final contendrá como mínimo, lo siguiente:</w:t>
      </w:r>
    </w:p>
    <w:p w14:paraId="6EA4C8CC" w14:textId="77777777" w:rsidR="00E90D2A" w:rsidRPr="00C971E5" w:rsidRDefault="00E90D2A" w:rsidP="00E90D2A">
      <w:pPr>
        <w:spacing w:after="0" w:line="240" w:lineRule="auto"/>
        <w:ind w:right="45"/>
        <w:textAlignment w:val="baseline"/>
        <w:rPr>
          <w:rFonts w:ascii="Garamond" w:hAnsi="Garamond" w:cs="Arial"/>
        </w:rPr>
      </w:pPr>
    </w:p>
    <w:p w14:paraId="42B83B5C" w14:textId="77777777" w:rsidR="00E90D2A" w:rsidRPr="00C971E5" w:rsidRDefault="00E90D2A" w:rsidP="00E90D2A">
      <w:pPr>
        <w:numPr>
          <w:ilvl w:val="0"/>
          <w:numId w:val="41"/>
        </w:numPr>
        <w:spacing w:after="0" w:line="240" w:lineRule="auto"/>
        <w:ind w:left="1290" w:hanging="581"/>
        <w:textAlignment w:val="baseline"/>
        <w:rPr>
          <w:rFonts w:ascii="Garamond" w:hAnsi="Garamond" w:cs="Arial"/>
        </w:rPr>
      </w:pPr>
      <w:r w:rsidRPr="00C971E5">
        <w:rPr>
          <w:rFonts w:ascii="Garamond" w:hAnsi="Garamond" w:cs="Arial"/>
        </w:rPr>
        <w:t>Capítulo I. Antecedentes y descripción general de los segmentos intervenidos</w:t>
      </w:r>
    </w:p>
    <w:p w14:paraId="30CA1F00" w14:textId="77777777" w:rsidR="00E90D2A" w:rsidRPr="00C971E5" w:rsidRDefault="00E90D2A" w:rsidP="00E90D2A">
      <w:pPr>
        <w:numPr>
          <w:ilvl w:val="0"/>
          <w:numId w:val="42"/>
        </w:numPr>
        <w:spacing w:after="0" w:line="240" w:lineRule="auto"/>
        <w:ind w:left="1290" w:hanging="581"/>
        <w:textAlignment w:val="baseline"/>
        <w:rPr>
          <w:rFonts w:ascii="Garamond" w:hAnsi="Garamond" w:cs="Arial"/>
        </w:rPr>
      </w:pPr>
      <w:r w:rsidRPr="00C971E5">
        <w:rPr>
          <w:rFonts w:ascii="Garamond" w:hAnsi="Garamond" w:cs="Arial"/>
        </w:rPr>
        <w:t>Capítulo II. Licencias y /o permisos requeridos y gestionados</w:t>
      </w:r>
    </w:p>
    <w:p w14:paraId="55141006" w14:textId="77777777" w:rsidR="00E90D2A" w:rsidRPr="00C971E5" w:rsidRDefault="00E90D2A" w:rsidP="00E90D2A">
      <w:pPr>
        <w:numPr>
          <w:ilvl w:val="0"/>
          <w:numId w:val="43"/>
        </w:numPr>
        <w:spacing w:after="0" w:line="240" w:lineRule="auto"/>
        <w:ind w:left="1290" w:hanging="581"/>
        <w:textAlignment w:val="baseline"/>
        <w:rPr>
          <w:rFonts w:ascii="Garamond" w:hAnsi="Garamond" w:cs="Arial"/>
        </w:rPr>
      </w:pPr>
      <w:r w:rsidRPr="00C971E5">
        <w:rPr>
          <w:rFonts w:ascii="Garamond" w:hAnsi="Garamond" w:cs="Arial"/>
        </w:rPr>
        <w:t xml:space="preserve">Capítulo III. Georreferenciación de los segmentos intervenidos. </w:t>
      </w:r>
    </w:p>
    <w:p w14:paraId="7DB7ABE3" w14:textId="77777777" w:rsidR="00E90D2A" w:rsidRPr="00C971E5" w:rsidRDefault="00E90D2A" w:rsidP="00E90D2A">
      <w:pPr>
        <w:numPr>
          <w:ilvl w:val="0"/>
          <w:numId w:val="43"/>
        </w:numPr>
        <w:spacing w:after="0" w:line="240" w:lineRule="auto"/>
        <w:ind w:left="1290" w:hanging="581"/>
        <w:textAlignment w:val="baseline"/>
        <w:rPr>
          <w:rFonts w:ascii="Garamond" w:hAnsi="Garamond" w:cs="Arial"/>
        </w:rPr>
      </w:pPr>
      <w:r w:rsidRPr="00C971E5">
        <w:rPr>
          <w:rFonts w:ascii="Garamond" w:hAnsi="Garamond" w:cs="Arial"/>
        </w:rPr>
        <w:t xml:space="preserve">Capítulo IV. Metodología de construcción, cantidades de obra ejecutadas que incluyan la abscisa o localización geográfica, discriminando </w:t>
      </w:r>
      <w:r>
        <w:rPr>
          <w:rFonts w:ascii="Garamond" w:hAnsi="Garamond" w:cs="Arial"/>
        </w:rPr>
        <w:t xml:space="preserve">actividades </w:t>
      </w:r>
      <w:r w:rsidRPr="00C971E5">
        <w:rPr>
          <w:rFonts w:ascii="Garamond" w:hAnsi="Garamond" w:cs="Arial"/>
        </w:rPr>
        <w:t>de obra ejecutadas y obras adicionales, relación de metas contractuales ejecutadas, y la justificación y validación de las obras no ejecutadas dentro del proyecto.</w:t>
      </w:r>
    </w:p>
    <w:p w14:paraId="0A4A3162" w14:textId="77777777" w:rsidR="00E90D2A" w:rsidRPr="00C971E5" w:rsidRDefault="00E90D2A" w:rsidP="00E90D2A">
      <w:pPr>
        <w:numPr>
          <w:ilvl w:val="0"/>
          <w:numId w:val="44"/>
        </w:numPr>
        <w:spacing w:after="0" w:line="240" w:lineRule="auto"/>
        <w:ind w:left="1290" w:hanging="581"/>
        <w:textAlignment w:val="baseline"/>
        <w:rPr>
          <w:rFonts w:ascii="Garamond" w:hAnsi="Garamond" w:cs="Arial"/>
        </w:rPr>
      </w:pPr>
      <w:r w:rsidRPr="00C971E5">
        <w:rPr>
          <w:rFonts w:ascii="Garamond" w:hAnsi="Garamond" w:cs="Arial"/>
        </w:rPr>
        <w:t xml:space="preserve">Capítulo V. Control de calidad. En este capítulo se deben anexar los registros relacionados con el cumplimiento de especificaciones técnicas, control equipos de medición, resultados de ensayos de laboratorio, entre otros, de acuerdo con la normatividad vigente aplicable. Adicionalmente, se anexará la relación de los segmentos identificando el plazo de calidad indicando fecha de inicio y fecha final. </w:t>
      </w:r>
    </w:p>
    <w:p w14:paraId="5B553146" w14:textId="77777777" w:rsidR="00E90D2A" w:rsidRPr="00C971E5" w:rsidRDefault="00E90D2A" w:rsidP="00E90D2A">
      <w:pPr>
        <w:numPr>
          <w:ilvl w:val="0"/>
          <w:numId w:val="45"/>
        </w:numPr>
        <w:spacing w:after="0" w:line="240" w:lineRule="auto"/>
        <w:ind w:left="1290" w:hanging="581"/>
        <w:textAlignment w:val="baseline"/>
        <w:rPr>
          <w:rFonts w:ascii="Garamond" w:hAnsi="Garamond" w:cs="Arial"/>
        </w:rPr>
      </w:pPr>
      <w:r w:rsidRPr="00C971E5">
        <w:rPr>
          <w:rFonts w:ascii="Garamond" w:hAnsi="Garamond" w:cs="Arial"/>
        </w:rPr>
        <w:t>Capítulo VI. Aspectos logísticos: personal, equipo utilizado, cumplimiento de seguridad industrial, salud ocupacional y bioseguridad.</w:t>
      </w:r>
    </w:p>
    <w:p w14:paraId="6E503EDE" w14:textId="77777777" w:rsidR="00E90D2A" w:rsidRPr="00C971E5" w:rsidRDefault="00E90D2A" w:rsidP="00E90D2A">
      <w:pPr>
        <w:numPr>
          <w:ilvl w:val="0"/>
          <w:numId w:val="46"/>
        </w:numPr>
        <w:spacing w:after="0" w:line="240" w:lineRule="auto"/>
        <w:ind w:left="1290" w:hanging="581"/>
        <w:textAlignment w:val="baseline"/>
        <w:rPr>
          <w:rFonts w:ascii="Garamond" w:hAnsi="Garamond" w:cs="Arial"/>
        </w:rPr>
      </w:pPr>
      <w:r w:rsidRPr="00C971E5">
        <w:rPr>
          <w:rFonts w:ascii="Garamond" w:hAnsi="Garamond" w:cs="Arial"/>
        </w:rPr>
        <w:t>Capítulo VII. Las actas de Comité técnico operativo</w:t>
      </w:r>
    </w:p>
    <w:p w14:paraId="1788AED5" w14:textId="77777777" w:rsidR="00E90D2A" w:rsidRDefault="00E90D2A" w:rsidP="00E90D2A">
      <w:pPr>
        <w:numPr>
          <w:ilvl w:val="0"/>
          <w:numId w:val="47"/>
        </w:numPr>
        <w:spacing w:after="0" w:line="240" w:lineRule="auto"/>
        <w:ind w:left="1290" w:hanging="581"/>
        <w:textAlignment w:val="baseline"/>
        <w:rPr>
          <w:rFonts w:ascii="Garamond" w:hAnsi="Garamond" w:cs="Arial"/>
        </w:rPr>
      </w:pPr>
      <w:r w:rsidRPr="007B6C38">
        <w:rPr>
          <w:rFonts w:ascii="Garamond" w:hAnsi="Garamond" w:cs="Arial"/>
        </w:rPr>
        <w:t xml:space="preserve">Capítulo VIII. Cumplimiento de aspectos </w:t>
      </w:r>
    </w:p>
    <w:p w14:paraId="71A7CF4F" w14:textId="77777777" w:rsidR="00E90D2A" w:rsidRPr="007B6C38" w:rsidRDefault="00E90D2A" w:rsidP="00E90D2A">
      <w:pPr>
        <w:numPr>
          <w:ilvl w:val="0"/>
          <w:numId w:val="47"/>
        </w:numPr>
        <w:spacing w:after="0" w:line="240" w:lineRule="auto"/>
        <w:ind w:left="1290" w:hanging="581"/>
        <w:textAlignment w:val="baseline"/>
        <w:rPr>
          <w:rFonts w:ascii="Garamond" w:hAnsi="Garamond" w:cs="Arial"/>
        </w:rPr>
      </w:pPr>
      <w:r w:rsidRPr="007B6C38">
        <w:rPr>
          <w:rFonts w:ascii="Garamond" w:hAnsi="Garamond" w:cs="Arial"/>
        </w:rPr>
        <w:t xml:space="preserve">Capitulo IX. Aspectos presupuestales y legales del proyecto – balance de ejecución presupuestal. Modificaciones realizadas. Actualización y verificación de garantías en aspectos contractuales y post- </w:t>
      </w:r>
      <w:proofErr w:type="gramStart"/>
      <w:r w:rsidRPr="007B6C38">
        <w:rPr>
          <w:rFonts w:ascii="Garamond" w:hAnsi="Garamond" w:cs="Arial"/>
        </w:rPr>
        <w:t>contractuales.(</w:t>
      </w:r>
      <w:proofErr w:type="gramEnd"/>
      <w:r w:rsidRPr="007B6C38">
        <w:rPr>
          <w:rFonts w:ascii="Garamond" w:hAnsi="Garamond" w:cs="Arial"/>
        </w:rPr>
        <w:t>si aplica)</w:t>
      </w:r>
    </w:p>
    <w:p w14:paraId="4DC8F0CD" w14:textId="77777777" w:rsidR="00E90D2A" w:rsidRPr="00C971E5" w:rsidRDefault="00E90D2A" w:rsidP="00E90D2A">
      <w:pPr>
        <w:numPr>
          <w:ilvl w:val="0"/>
          <w:numId w:val="48"/>
        </w:numPr>
        <w:spacing w:after="0" w:line="240" w:lineRule="auto"/>
        <w:ind w:left="1290" w:hanging="581"/>
        <w:textAlignment w:val="baseline"/>
        <w:rPr>
          <w:rFonts w:ascii="Garamond" w:hAnsi="Garamond" w:cs="Arial"/>
        </w:rPr>
      </w:pPr>
      <w:r w:rsidRPr="00C971E5">
        <w:rPr>
          <w:rFonts w:ascii="Garamond" w:hAnsi="Garamond" w:cs="Arial"/>
        </w:rPr>
        <w:t>Capítulo X. Anexos. Estos deben ser:</w:t>
      </w:r>
    </w:p>
    <w:p w14:paraId="30CABFEA" w14:textId="77777777" w:rsidR="00E90D2A" w:rsidRPr="00C971E5" w:rsidRDefault="00E90D2A" w:rsidP="00E90D2A">
      <w:pPr>
        <w:numPr>
          <w:ilvl w:val="0"/>
          <w:numId w:val="49"/>
        </w:numPr>
        <w:spacing w:after="0" w:line="240" w:lineRule="auto"/>
        <w:ind w:left="1843" w:hanging="283"/>
        <w:textAlignment w:val="baseline"/>
        <w:rPr>
          <w:rFonts w:ascii="Garamond" w:hAnsi="Garamond" w:cs="Arial"/>
        </w:rPr>
      </w:pPr>
      <w:r w:rsidRPr="00C971E5">
        <w:rPr>
          <w:rFonts w:ascii="Garamond" w:hAnsi="Garamond" w:cs="Arial"/>
        </w:rPr>
        <w:t>Presupuesto inicial y final de los segmentos intervenidos.</w:t>
      </w:r>
    </w:p>
    <w:p w14:paraId="6D314CDF" w14:textId="77777777" w:rsidR="00E90D2A" w:rsidRPr="00C971E5" w:rsidRDefault="00E90D2A" w:rsidP="00E90D2A">
      <w:pPr>
        <w:numPr>
          <w:ilvl w:val="0"/>
          <w:numId w:val="49"/>
        </w:numPr>
        <w:spacing w:after="0" w:line="240" w:lineRule="auto"/>
        <w:ind w:left="1843" w:hanging="283"/>
        <w:textAlignment w:val="baseline"/>
        <w:rPr>
          <w:rFonts w:ascii="Garamond" w:hAnsi="Garamond" w:cs="Arial"/>
        </w:rPr>
      </w:pPr>
      <w:r w:rsidRPr="00C971E5">
        <w:rPr>
          <w:rFonts w:ascii="Garamond" w:hAnsi="Garamond" w:cs="Arial"/>
        </w:rPr>
        <w:t xml:space="preserve">Hojas de Vida por </w:t>
      </w:r>
      <w:proofErr w:type="spellStart"/>
      <w:r w:rsidRPr="00C971E5">
        <w:rPr>
          <w:rFonts w:ascii="Garamond" w:hAnsi="Garamond" w:cs="Arial"/>
        </w:rPr>
        <w:t>CIV´s</w:t>
      </w:r>
      <w:proofErr w:type="spellEnd"/>
      <w:r w:rsidRPr="00C971E5">
        <w:rPr>
          <w:rFonts w:ascii="Garamond" w:hAnsi="Garamond" w:cs="Arial"/>
        </w:rPr>
        <w:t xml:space="preserve"> intervenido</w:t>
      </w:r>
    </w:p>
    <w:p w14:paraId="175EF130" w14:textId="77777777" w:rsidR="00E90D2A" w:rsidRPr="00B05B36" w:rsidRDefault="00E90D2A" w:rsidP="00E90D2A">
      <w:pPr>
        <w:numPr>
          <w:ilvl w:val="0"/>
          <w:numId w:val="49"/>
        </w:numPr>
        <w:spacing w:after="0" w:line="240" w:lineRule="auto"/>
        <w:ind w:left="1843" w:hanging="283"/>
        <w:textAlignment w:val="baseline"/>
        <w:rPr>
          <w:rFonts w:ascii="Garamond" w:hAnsi="Garamond" w:cs="Arial"/>
        </w:rPr>
      </w:pPr>
      <w:r w:rsidRPr="00B05B36">
        <w:rPr>
          <w:rFonts w:ascii="Garamond" w:hAnsi="Garamond" w:cs="Arial"/>
        </w:rPr>
        <w:t xml:space="preserve">Memorias y Diseños de las obras </w:t>
      </w:r>
    </w:p>
    <w:p w14:paraId="305780C0" w14:textId="77777777" w:rsidR="00E90D2A" w:rsidRPr="00C971E5" w:rsidRDefault="00E90D2A" w:rsidP="00E90D2A">
      <w:pPr>
        <w:numPr>
          <w:ilvl w:val="0"/>
          <w:numId w:val="49"/>
        </w:numPr>
        <w:spacing w:after="0" w:line="240" w:lineRule="auto"/>
        <w:ind w:left="1843" w:hanging="283"/>
        <w:textAlignment w:val="baseline"/>
        <w:rPr>
          <w:rFonts w:ascii="Garamond" w:hAnsi="Garamond" w:cs="Arial"/>
        </w:rPr>
      </w:pPr>
      <w:r w:rsidRPr="00C971E5">
        <w:rPr>
          <w:rFonts w:ascii="Garamond" w:hAnsi="Garamond" w:cs="Arial"/>
        </w:rPr>
        <w:t>Registros fotográficos (antes, durante y después) y/o fílmicos de lo ejecutado (con fechador).</w:t>
      </w:r>
    </w:p>
    <w:p w14:paraId="27F31613" w14:textId="77777777" w:rsidR="00E90D2A" w:rsidRPr="00C971E5" w:rsidRDefault="00E90D2A" w:rsidP="00E90D2A">
      <w:pPr>
        <w:numPr>
          <w:ilvl w:val="0"/>
          <w:numId w:val="49"/>
        </w:numPr>
        <w:spacing w:after="0" w:line="240" w:lineRule="auto"/>
        <w:ind w:left="1843" w:hanging="283"/>
        <w:textAlignment w:val="baseline"/>
        <w:rPr>
          <w:rFonts w:ascii="Garamond" w:hAnsi="Garamond" w:cs="Arial"/>
        </w:rPr>
      </w:pPr>
      <w:r w:rsidRPr="00C971E5">
        <w:rPr>
          <w:rFonts w:ascii="Garamond" w:hAnsi="Garamond" w:cs="Arial"/>
        </w:rPr>
        <w:t xml:space="preserve">Plan Operativo de Actividades POA y </w:t>
      </w:r>
      <w:proofErr w:type="gramStart"/>
      <w:r w:rsidRPr="00C971E5">
        <w:rPr>
          <w:rFonts w:ascii="Garamond" w:hAnsi="Garamond" w:cs="Arial"/>
        </w:rPr>
        <w:t>cronograma  inicial</w:t>
      </w:r>
      <w:proofErr w:type="gramEnd"/>
      <w:r w:rsidRPr="00C971E5">
        <w:rPr>
          <w:rFonts w:ascii="Garamond" w:hAnsi="Garamond" w:cs="Arial"/>
        </w:rPr>
        <w:t xml:space="preserve"> y final</w:t>
      </w:r>
    </w:p>
    <w:p w14:paraId="33A2A5F4" w14:textId="77777777" w:rsidR="00E90D2A" w:rsidRPr="00C971E5" w:rsidRDefault="00E90D2A" w:rsidP="00E90D2A">
      <w:pPr>
        <w:numPr>
          <w:ilvl w:val="0"/>
          <w:numId w:val="49"/>
        </w:numPr>
        <w:spacing w:after="0" w:line="240" w:lineRule="auto"/>
        <w:ind w:left="1843" w:hanging="283"/>
        <w:textAlignment w:val="baseline"/>
        <w:rPr>
          <w:rFonts w:ascii="Garamond" w:hAnsi="Garamond" w:cs="Arial"/>
        </w:rPr>
      </w:pPr>
      <w:r w:rsidRPr="00C971E5">
        <w:rPr>
          <w:rFonts w:ascii="Garamond" w:hAnsi="Garamond" w:cs="Arial"/>
        </w:rPr>
        <w:t>Informes periódicos de ejecución técnica y financiera</w:t>
      </w:r>
    </w:p>
    <w:p w14:paraId="01C54D53" w14:textId="77777777" w:rsidR="00E90D2A" w:rsidRPr="00C971E5" w:rsidRDefault="00E90D2A" w:rsidP="00E90D2A">
      <w:pPr>
        <w:numPr>
          <w:ilvl w:val="0"/>
          <w:numId w:val="49"/>
        </w:numPr>
        <w:spacing w:after="0" w:line="240" w:lineRule="auto"/>
        <w:ind w:left="1843" w:hanging="283"/>
        <w:textAlignment w:val="baseline"/>
        <w:rPr>
          <w:rFonts w:ascii="Garamond" w:hAnsi="Garamond" w:cs="Arial"/>
        </w:rPr>
      </w:pPr>
      <w:r w:rsidRPr="00C971E5">
        <w:rPr>
          <w:rFonts w:ascii="Garamond" w:hAnsi="Garamond" w:cs="Arial"/>
        </w:rPr>
        <w:t>Bitácora de obra: Registro de actividades donde se describa el desarrollo diario de actividades realizadas al proyecto la obra.</w:t>
      </w:r>
    </w:p>
    <w:p w14:paraId="093407CD" w14:textId="77777777" w:rsidR="00E90D2A" w:rsidRPr="00C971E5" w:rsidRDefault="00E90D2A" w:rsidP="00E90D2A">
      <w:pPr>
        <w:numPr>
          <w:ilvl w:val="0"/>
          <w:numId w:val="49"/>
        </w:numPr>
        <w:spacing w:after="0" w:line="240" w:lineRule="auto"/>
        <w:ind w:left="1843" w:hanging="283"/>
        <w:textAlignment w:val="baseline"/>
        <w:rPr>
          <w:rFonts w:ascii="Garamond" w:hAnsi="Garamond" w:cs="Arial"/>
        </w:rPr>
      </w:pPr>
      <w:r w:rsidRPr="00C971E5">
        <w:rPr>
          <w:rFonts w:ascii="Garamond" w:hAnsi="Garamond" w:cs="Arial"/>
        </w:rPr>
        <w:t xml:space="preserve"> </w:t>
      </w:r>
      <w:r>
        <w:rPr>
          <w:rFonts w:ascii="Garamond" w:hAnsi="Garamond" w:cs="Arial"/>
        </w:rPr>
        <w:t xml:space="preserve">Informe de Gestión </w:t>
      </w:r>
      <w:r w:rsidRPr="00C971E5">
        <w:rPr>
          <w:rFonts w:ascii="Garamond" w:hAnsi="Garamond" w:cs="Arial"/>
        </w:rPr>
        <w:t>ambiental.</w:t>
      </w:r>
    </w:p>
    <w:p w14:paraId="2C1C021E" w14:textId="77777777" w:rsidR="00E90D2A" w:rsidRPr="00C971E5" w:rsidRDefault="00E90D2A" w:rsidP="00E90D2A">
      <w:pPr>
        <w:numPr>
          <w:ilvl w:val="0"/>
          <w:numId w:val="49"/>
        </w:numPr>
        <w:spacing w:after="0" w:line="240" w:lineRule="auto"/>
        <w:ind w:left="1843" w:hanging="283"/>
        <w:textAlignment w:val="baseline"/>
        <w:rPr>
          <w:rFonts w:ascii="Garamond" w:hAnsi="Garamond" w:cs="Arial"/>
        </w:rPr>
      </w:pPr>
      <w:r w:rsidRPr="00C971E5">
        <w:rPr>
          <w:rFonts w:ascii="Garamond" w:hAnsi="Garamond" w:cs="Arial"/>
        </w:rPr>
        <w:t>Comunicaciones oficiales.</w:t>
      </w:r>
    </w:p>
    <w:p w14:paraId="4989FDAC" w14:textId="77777777" w:rsidR="00E90D2A" w:rsidRPr="00C971E5" w:rsidRDefault="00E90D2A" w:rsidP="00E90D2A">
      <w:pPr>
        <w:numPr>
          <w:ilvl w:val="0"/>
          <w:numId w:val="49"/>
        </w:numPr>
        <w:spacing w:after="0" w:line="240" w:lineRule="auto"/>
        <w:ind w:left="1843" w:hanging="283"/>
        <w:textAlignment w:val="baseline"/>
        <w:rPr>
          <w:rFonts w:ascii="Garamond" w:hAnsi="Garamond" w:cs="Arial"/>
        </w:rPr>
      </w:pPr>
      <w:r w:rsidRPr="00C971E5">
        <w:rPr>
          <w:rFonts w:ascii="Garamond" w:hAnsi="Garamond" w:cs="Arial"/>
        </w:rPr>
        <w:t>Acta</w:t>
      </w:r>
      <w:r>
        <w:rPr>
          <w:rFonts w:ascii="Garamond" w:hAnsi="Garamond" w:cs="Arial"/>
        </w:rPr>
        <w:t>s</w:t>
      </w:r>
      <w:r w:rsidRPr="00C971E5">
        <w:rPr>
          <w:rFonts w:ascii="Garamond" w:hAnsi="Garamond" w:cs="Arial"/>
        </w:rPr>
        <w:t xml:space="preserve"> de entrega y recibo de</w:t>
      </w:r>
      <w:r>
        <w:rPr>
          <w:rFonts w:ascii="Garamond" w:hAnsi="Garamond" w:cs="Arial"/>
        </w:rPr>
        <w:t xml:space="preserve"> los segmentos intervenidos en el marco del convenio</w:t>
      </w:r>
    </w:p>
    <w:p w14:paraId="4DD596B3" w14:textId="77777777" w:rsidR="00E90D2A" w:rsidRPr="00C971E5" w:rsidRDefault="00E90D2A" w:rsidP="00E90D2A">
      <w:pPr>
        <w:numPr>
          <w:ilvl w:val="0"/>
          <w:numId w:val="49"/>
        </w:numPr>
        <w:spacing w:after="0" w:line="240" w:lineRule="auto"/>
        <w:ind w:left="1843" w:hanging="283"/>
        <w:textAlignment w:val="baseline"/>
        <w:rPr>
          <w:rFonts w:ascii="Garamond" w:hAnsi="Garamond" w:cs="Arial"/>
        </w:rPr>
      </w:pPr>
      <w:r w:rsidRPr="00C971E5">
        <w:rPr>
          <w:rFonts w:ascii="Garamond" w:hAnsi="Garamond" w:cs="Arial"/>
        </w:rPr>
        <w:t>Acta de terminación</w:t>
      </w:r>
      <w:r>
        <w:rPr>
          <w:rFonts w:ascii="Garamond" w:hAnsi="Garamond" w:cs="Arial"/>
        </w:rPr>
        <w:t xml:space="preserve"> del Convenio</w:t>
      </w:r>
    </w:p>
    <w:p w14:paraId="16031FB4" w14:textId="5177DE25" w:rsidR="00E90D2A" w:rsidRPr="00C971E5" w:rsidRDefault="00E90D2A" w:rsidP="00E90D2A">
      <w:pPr>
        <w:numPr>
          <w:ilvl w:val="0"/>
          <w:numId w:val="49"/>
        </w:numPr>
        <w:spacing w:after="0" w:line="240" w:lineRule="auto"/>
        <w:ind w:left="1843" w:hanging="283"/>
        <w:textAlignment w:val="baseline"/>
        <w:rPr>
          <w:rFonts w:ascii="Garamond" w:hAnsi="Garamond" w:cs="Arial"/>
        </w:rPr>
      </w:pPr>
      <w:r w:rsidRPr="00C971E5">
        <w:rPr>
          <w:rFonts w:ascii="Garamond" w:hAnsi="Garamond" w:cs="Arial"/>
        </w:rPr>
        <w:t xml:space="preserve">Los demás documentos que se consideren pertinentes por parte del </w:t>
      </w:r>
      <w:r w:rsidR="00F323CB">
        <w:rPr>
          <w:rFonts w:ascii="Garamond" w:hAnsi="Garamond" w:cs="Arial"/>
        </w:rPr>
        <w:t>FDLM</w:t>
      </w:r>
      <w:r w:rsidRPr="00C971E5">
        <w:rPr>
          <w:rFonts w:ascii="Garamond" w:hAnsi="Garamond" w:cs="Arial"/>
        </w:rPr>
        <w:t>.</w:t>
      </w:r>
    </w:p>
    <w:p w14:paraId="10E40B98" w14:textId="77777777" w:rsidR="00E90D2A" w:rsidRPr="006E74A5" w:rsidRDefault="00E90D2A" w:rsidP="00E90D2A">
      <w:pPr>
        <w:spacing w:after="0" w:line="240" w:lineRule="auto"/>
        <w:ind w:left="1843"/>
        <w:textAlignment w:val="baseline"/>
        <w:rPr>
          <w:rFonts w:ascii="Garamond" w:hAnsi="Garamond" w:cs="Arial"/>
        </w:rPr>
      </w:pPr>
    </w:p>
    <w:p w14:paraId="179D7979" w14:textId="77777777" w:rsidR="00E90D2A" w:rsidRPr="006E74A5" w:rsidRDefault="00E90D2A" w:rsidP="00E90D2A">
      <w:pPr>
        <w:pStyle w:val="Ttulo1"/>
        <w:numPr>
          <w:ilvl w:val="0"/>
          <w:numId w:val="3"/>
        </w:numPr>
        <w:spacing w:before="0" w:after="0"/>
        <w:rPr>
          <w:rFonts w:ascii="Garamond" w:hAnsi="Garamond"/>
          <w:color w:val="auto"/>
          <w:sz w:val="22"/>
          <w:szCs w:val="22"/>
        </w:rPr>
      </w:pPr>
      <w:r w:rsidRPr="006E74A5">
        <w:rPr>
          <w:rFonts w:ascii="Garamond" w:hAnsi="Garamond"/>
          <w:color w:val="auto"/>
          <w:sz w:val="22"/>
          <w:szCs w:val="22"/>
        </w:rPr>
        <w:t> </w:t>
      </w:r>
      <w:bookmarkStart w:id="29" w:name="_Toc172295956"/>
      <w:r w:rsidRPr="006E74A5">
        <w:rPr>
          <w:rFonts w:ascii="Garamond" w:hAnsi="Garamond"/>
          <w:color w:val="auto"/>
          <w:sz w:val="22"/>
          <w:szCs w:val="22"/>
        </w:rPr>
        <w:t>MANEJO DE LA INFORMACIÓN Y GESTIÓN DOCUMENTAL</w:t>
      </w:r>
      <w:bookmarkEnd w:id="29"/>
    </w:p>
    <w:p w14:paraId="0F49D3BA" w14:textId="77777777" w:rsidR="00E90D2A" w:rsidRDefault="00E90D2A" w:rsidP="00E90D2A">
      <w:pPr>
        <w:spacing w:after="0" w:line="240" w:lineRule="auto"/>
        <w:ind w:right="45"/>
        <w:textAlignment w:val="baseline"/>
        <w:rPr>
          <w:rFonts w:ascii="Garamond" w:hAnsi="Garamond" w:cs="Arial"/>
        </w:rPr>
      </w:pPr>
    </w:p>
    <w:p w14:paraId="1E4C45F6" w14:textId="424C2BE6" w:rsidR="00E90D2A" w:rsidRPr="006E74A5" w:rsidRDefault="00E90D2A" w:rsidP="00E90D2A">
      <w:pPr>
        <w:spacing w:after="0" w:line="240" w:lineRule="auto"/>
        <w:ind w:right="45"/>
        <w:textAlignment w:val="baseline"/>
        <w:rPr>
          <w:rFonts w:ascii="Garamond" w:hAnsi="Garamond" w:cs="Arial"/>
        </w:rPr>
      </w:pPr>
      <w:r w:rsidRPr="006E74A5">
        <w:rPr>
          <w:rFonts w:ascii="Garamond" w:hAnsi="Garamond" w:cs="Arial"/>
        </w:rPr>
        <w:t xml:space="preserve">La UAERMV será la responsable de recibir, organizar y cargar al expediente digital, todos los documentos originales suscritos que den cuenta de la ejecución del convenio y la implementación de la ruta operativa prevista en el anexo técnico y entregarlo, posteriormente, al supervisor del convenio por parte del </w:t>
      </w:r>
      <w:r w:rsidR="00F323CB">
        <w:rPr>
          <w:rFonts w:ascii="Garamond" w:hAnsi="Garamond" w:cs="Arial"/>
        </w:rPr>
        <w:t>FDLM</w:t>
      </w:r>
    </w:p>
    <w:p w14:paraId="6F24BB77" w14:textId="77777777" w:rsidR="00E90D2A" w:rsidRDefault="00E90D2A" w:rsidP="00E90D2A">
      <w:pPr>
        <w:spacing w:after="0" w:line="240" w:lineRule="auto"/>
        <w:rPr>
          <w:rFonts w:ascii="Garamond" w:hAnsi="Garamond" w:cs="Arial"/>
        </w:rPr>
      </w:pPr>
    </w:p>
    <w:p w14:paraId="6F38C0E9" w14:textId="77777777" w:rsidR="00E90D2A" w:rsidRPr="006E74A5" w:rsidRDefault="00E90D2A" w:rsidP="00E90D2A">
      <w:pPr>
        <w:spacing w:after="0" w:line="240" w:lineRule="auto"/>
        <w:rPr>
          <w:rFonts w:ascii="Garamond" w:hAnsi="Garamond" w:cs="Arial"/>
        </w:rPr>
      </w:pPr>
      <w:r w:rsidRPr="006E74A5">
        <w:rPr>
          <w:rFonts w:ascii="Garamond" w:hAnsi="Garamond" w:cs="Arial"/>
        </w:rPr>
        <w:lastRenderedPageBreak/>
        <w:t>Cada documento de soporte deberá incorporarse en el expediente, de manera cronológica y sin que se genere duplicidad documental, para ello es pertinente incorporar los documentos de manera oportuna, una vez se haya formalizado cada actividad y etapa del convenio</w:t>
      </w:r>
    </w:p>
    <w:p w14:paraId="6F4D8E12" w14:textId="77777777" w:rsidR="00E90D2A" w:rsidRDefault="00E90D2A" w:rsidP="00E90D2A">
      <w:pPr>
        <w:spacing w:after="0" w:line="240" w:lineRule="auto"/>
        <w:rPr>
          <w:rFonts w:ascii="Garamond" w:hAnsi="Garamond" w:cs="Arial"/>
        </w:rPr>
      </w:pPr>
    </w:p>
    <w:p w14:paraId="0D504A3E" w14:textId="60DC18FB" w:rsidR="00E90D2A" w:rsidRPr="006E74A5" w:rsidRDefault="00E90D2A" w:rsidP="00E90D2A">
      <w:pPr>
        <w:spacing w:after="0" w:line="240" w:lineRule="auto"/>
        <w:rPr>
          <w:rFonts w:ascii="Garamond" w:hAnsi="Garamond" w:cs="Arial"/>
        </w:rPr>
      </w:pPr>
      <w:r w:rsidRPr="006E74A5">
        <w:rPr>
          <w:rFonts w:ascii="Garamond" w:hAnsi="Garamond" w:cs="Arial"/>
        </w:rPr>
        <w:t xml:space="preserve">En todo caso los expedientes deberán ser estructurados durante la implementación de cada etapa del proceso y radicados junto con el informe final, previa aprobación del supervisor del </w:t>
      </w:r>
      <w:r w:rsidR="00F323CB">
        <w:rPr>
          <w:rFonts w:ascii="Garamond" w:hAnsi="Garamond" w:cs="Arial"/>
        </w:rPr>
        <w:t>FDLM</w:t>
      </w:r>
      <w:r w:rsidRPr="006E74A5">
        <w:rPr>
          <w:rFonts w:ascii="Garamond" w:hAnsi="Garamond" w:cs="Arial"/>
        </w:rPr>
        <w:t>.</w:t>
      </w:r>
    </w:p>
    <w:p w14:paraId="58C422E9" w14:textId="77777777" w:rsidR="00EB2F4B" w:rsidRDefault="00EB2F4B" w:rsidP="00EB2F4B">
      <w:pPr>
        <w:rPr>
          <w:rFonts w:ascii="Garamond" w:hAnsi="Garamond"/>
          <w:b/>
          <w:lang w:val="es-ES"/>
        </w:rPr>
      </w:pPr>
    </w:p>
    <w:p w14:paraId="320159E6" w14:textId="3656A8CB" w:rsidR="00A75162" w:rsidRDefault="004E1E45" w:rsidP="0042750F">
      <w:pPr>
        <w:numPr>
          <w:ilvl w:val="0"/>
          <w:numId w:val="3"/>
        </w:numPr>
        <w:rPr>
          <w:rFonts w:ascii="Garamond" w:hAnsi="Garamond"/>
          <w:b/>
        </w:rPr>
      </w:pPr>
      <w:r w:rsidRPr="00AA11ED">
        <w:rPr>
          <w:rFonts w:ascii="Garamond" w:hAnsi="Garamond"/>
          <w:b/>
        </w:rPr>
        <w:t xml:space="preserve">FORMA </w:t>
      </w:r>
      <w:r w:rsidR="009935BF" w:rsidRPr="00AA11ED">
        <w:rPr>
          <w:rFonts w:ascii="Garamond" w:hAnsi="Garamond"/>
          <w:b/>
        </w:rPr>
        <w:t>DE</w:t>
      </w:r>
      <w:r w:rsidR="00A75162" w:rsidRPr="00AA11ED">
        <w:rPr>
          <w:rFonts w:ascii="Garamond" w:hAnsi="Garamond"/>
          <w:b/>
        </w:rPr>
        <w:t xml:space="preserve"> PAGO</w:t>
      </w:r>
    </w:p>
    <w:p w14:paraId="0B09BE7E" w14:textId="02E08419" w:rsidR="00883C2B" w:rsidRPr="00AA11ED" w:rsidRDefault="0089354A" w:rsidP="00883C2B">
      <w:pPr>
        <w:rPr>
          <w:rFonts w:ascii="Garamond" w:hAnsi="Garamond"/>
          <w:b/>
        </w:rPr>
      </w:pPr>
      <w:bookmarkStart w:id="30" w:name="_Hlk206596040"/>
      <w:r w:rsidRPr="0089354A">
        <w:rPr>
          <w:rFonts w:ascii="Garamond" w:hAnsi="Garamond"/>
          <w:b/>
        </w:rPr>
        <w:t xml:space="preserve">La forma de pago se encuentra establecida en el numeral </w:t>
      </w:r>
      <w:r>
        <w:rPr>
          <w:rFonts w:ascii="Garamond" w:hAnsi="Garamond" w:cs="Arial"/>
          <w:b/>
        </w:rPr>
        <w:t>4</w:t>
      </w:r>
      <w:r w:rsidRPr="00930F9D">
        <w:rPr>
          <w:rFonts w:ascii="Garamond" w:hAnsi="Garamond" w:cs="Arial"/>
          <w:b/>
        </w:rPr>
        <w:t xml:space="preserve">. </w:t>
      </w:r>
      <w:r>
        <w:rPr>
          <w:rFonts w:ascii="Garamond" w:hAnsi="Garamond" w:cs="Arial"/>
          <w:b/>
          <w:color w:val="000000"/>
        </w:rPr>
        <w:t>FORMA Y REQUISITOS PARA LA REALIZACION DE DESEMBOLSOS</w:t>
      </w:r>
      <w:r w:rsidRPr="0089354A">
        <w:rPr>
          <w:rFonts w:ascii="Garamond" w:hAnsi="Garamond"/>
          <w:b/>
        </w:rPr>
        <w:t xml:space="preserve"> del documento de estudios previos.</w:t>
      </w:r>
    </w:p>
    <w:bookmarkEnd w:id="30"/>
    <w:p w14:paraId="1C6C9910" w14:textId="77777777" w:rsidR="009D5850" w:rsidRDefault="009D5850" w:rsidP="009D5850">
      <w:pPr>
        <w:rPr>
          <w:rFonts w:ascii="Garamond" w:hAnsi="Garamond"/>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6"/>
        <w:gridCol w:w="1760"/>
        <w:gridCol w:w="3926"/>
      </w:tblGrid>
      <w:tr w:rsidR="00906DEE" w:rsidRPr="007957BE" w14:paraId="3879737C" w14:textId="77777777" w:rsidTr="005317D2">
        <w:trPr>
          <w:jc w:val="center"/>
        </w:trPr>
        <w:tc>
          <w:tcPr>
            <w:tcW w:w="3617" w:type="dxa"/>
            <w:vAlign w:val="center"/>
          </w:tcPr>
          <w:p w14:paraId="39B5BA39" w14:textId="77777777" w:rsidR="00906DEE" w:rsidRPr="007957BE" w:rsidRDefault="00906DEE" w:rsidP="005317D2">
            <w:pPr>
              <w:rPr>
                <w:rFonts w:cs="Arial"/>
                <w:b/>
                <w:bCs/>
                <w:iCs/>
                <w:sz w:val="16"/>
                <w:szCs w:val="16"/>
              </w:rPr>
            </w:pPr>
            <w:bookmarkStart w:id="31" w:name="_Hlk20993523"/>
            <w:r w:rsidRPr="007957BE">
              <w:rPr>
                <w:rFonts w:cs="Arial"/>
                <w:b/>
                <w:bCs/>
                <w:iCs/>
                <w:sz w:val="16"/>
                <w:szCs w:val="16"/>
              </w:rPr>
              <w:t>Revisó</w:t>
            </w:r>
          </w:p>
        </w:tc>
        <w:tc>
          <w:tcPr>
            <w:tcW w:w="1775" w:type="dxa"/>
            <w:vAlign w:val="center"/>
          </w:tcPr>
          <w:p w14:paraId="0BB5F773" w14:textId="77777777" w:rsidR="00906DEE" w:rsidRPr="007957BE" w:rsidRDefault="00906DEE" w:rsidP="005317D2">
            <w:pPr>
              <w:rPr>
                <w:rFonts w:cs="Arial"/>
                <w:b/>
                <w:bCs/>
                <w:iCs/>
                <w:sz w:val="16"/>
                <w:szCs w:val="16"/>
              </w:rPr>
            </w:pPr>
            <w:r w:rsidRPr="007957BE">
              <w:rPr>
                <w:rFonts w:cs="Arial"/>
                <w:b/>
                <w:bCs/>
                <w:iCs/>
                <w:sz w:val="16"/>
                <w:szCs w:val="16"/>
              </w:rPr>
              <w:t>Dependencia</w:t>
            </w:r>
          </w:p>
        </w:tc>
        <w:tc>
          <w:tcPr>
            <w:tcW w:w="4021" w:type="dxa"/>
            <w:vAlign w:val="center"/>
          </w:tcPr>
          <w:p w14:paraId="5EE2A8FA" w14:textId="77777777" w:rsidR="00906DEE" w:rsidRPr="007957BE" w:rsidRDefault="00906DEE" w:rsidP="005317D2">
            <w:pPr>
              <w:rPr>
                <w:rFonts w:cs="Arial"/>
                <w:b/>
                <w:bCs/>
                <w:iCs/>
                <w:sz w:val="16"/>
                <w:szCs w:val="16"/>
              </w:rPr>
            </w:pPr>
            <w:r w:rsidRPr="007957BE">
              <w:rPr>
                <w:rFonts w:cs="Arial"/>
                <w:b/>
                <w:bCs/>
                <w:iCs/>
                <w:sz w:val="16"/>
                <w:szCs w:val="16"/>
              </w:rPr>
              <w:t>Firma</w:t>
            </w:r>
          </w:p>
        </w:tc>
      </w:tr>
      <w:tr w:rsidR="00906DEE" w:rsidRPr="007957BE" w14:paraId="149EDDEC" w14:textId="77777777" w:rsidTr="005317D2">
        <w:trPr>
          <w:trHeight w:val="935"/>
          <w:jc w:val="center"/>
        </w:trPr>
        <w:tc>
          <w:tcPr>
            <w:tcW w:w="3617" w:type="dxa"/>
            <w:vAlign w:val="center"/>
          </w:tcPr>
          <w:p w14:paraId="26502EC5" w14:textId="77777777" w:rsidR="00906DEE" w:rsidRPr="007957BE" w:rsidRDefault="00906DEE" w:rsidP="005317D2">
            <w:pPr>
              <w:rPr>
                <w:rFonts w:cs="Arial"/>
                <w:bCs/>
                <w:iCs/>
                <w:sz w:val="16"/>
                <w:szCs w:val="16"/>
              </w:rPr>
            </w:pPr>
            <w:r w:rsidRPr="007957BE">
              <w:rPr>
                <w:rFonts w:cs="Arial"/>
                <w:bCs/>
                <w:iCs/>
                <w:sz w:val="16"/>
                <w:szCs w:val="16"/>
              </w:rPr>
              <w:t>Juan Alfredo Torres Prieto</w:t>
            </w:r>
          </w:p>
        </w:tc>
        <w:tc>
          <w:tcPr>
            <w:tcW w:w="1775" w:type="dxa"/>
            <w:vAlign w:val="center"/>
          </w:tcPr>
          <w:p w14:paraId="6D1F036C" w14:textId="77777777" w:rsidR="00906DEE" w:rsidRPr="007957BE" w:rsidRDefault="00906DEE" w:rsidP="005317D2">
            <w:pPr>
              <w:rPr>
                <w:rFonts w:cs="Arial"/>
                <w:bCs/>
                <w:iCs/>
                <w:sz w:val="16"/>
                <w:szCs w:val="16"/>
              </w:rPr>
            </w:pPr>
            <w:r w:rsidRPr="007957BE">
              <w:rPr>
                <w:rFonts w:cs="Arial"/>
                <w:bCs/>
                <w:iCs/>
                <w:sz w:val="16"/>
                <w:szCs w:val="16"/>
              </w:rPr>
              <w:t>Infraestructura</w:t>
            </w:r>
          </w:p>
        </w:tc>
        <w:tc>
          <w:tcPr>
            <w:tcW w:w="4021" w:type="dxa"/>
            <w:vAlign w:val="center"/>
          </w:tcPr>
          <w:p w14:paraId="59D3277D" w14:textId="77777777" w:rsidR="00906DEE" w:rsidRPr="007957BE" w:rsidRDefault="00906DEE" w:rsidP="005317D2">
            <w:pPr>
              <w:rPr>
                <w:rFonts w:cs="Arial"/>
                <w:bCs/>
                <w:iCs/>
                <w:sz w:val="16"/>
                <w:szCs w:val="16"/>
              </w:rPr>
            </w:pPr>
          </w:p>
        </w:tc>
      </w:tr>
      <w:tr w:rsidR="00906DEE" w:rsidRPr="007957BE" w14:paraId="3E162912" w14:textId="77777777" w:rsidTr="005317D2">
        <w:trPr>
          <w:jc w:val="center"/>
        </w:trPr>
        <w:tc>
          <w:tcPr>
            <w:tcW w:w="3617" w:type="dxa"/>
            <w:vAlign w:val="center"/>
          </w:tcPr>
          <w:p w14:paraId="2DB475B6" w14:textId="77777777" w:rsidR="00906DEE" w:rsidRPr="007957BE" w:rsidRDefault="00906DEE" w:rsidP="005317D2">
            <w:pPr>
              <w:rPr>
                <w:rFonts w:cs="Arial"/>
                <w:b/>
                <w:bCs/>
                <w:iCs/>
                <w:sz w:val="16"/>
                <w:szCs w:val="16"/>
              </w:rPr>
            </w:pPr>
            <w:r w:rsidRPr="007957BE">
              <w:rPr>
                <w:rFonts w:cs="Arial"/>
                <w:b/>
                <w:bCs/>
                <w:iCs/>
                <w:sz w:val="16"/>
                <w:szCs w:val="16"/>
              </w:rPr>
              <w:t>Formulador Técnico</w:t>
            </w:r>
          </w:p>
        </w:tc>
        <w:tc>
          <w:tcPr>
            <w:tcW w:w="1775" w:type="dxa"/>
            <w:vAlign w:val="center"/>
          </w:tcPr>
          <w:p w14:paraId="7F148BD3" w14:textId="77777777" w:rsidR="00906DEE" w:rsidRPr="007957BE" w:rsidRDefault="00906DEE" w:rsidP="005317D2">
            <w:pPr>
              <w:rPr>
                <w:rFonts w:cs="Arial"/>
                <w:b/>
                <w:bCs/>
                <w:iCs/>
                <w:sz w:val="16"/>
                <w:szCs w:val="16"/>
              </w:rPr>
            </w:pPr>
            <w:r w:rsidRPr="007957BE">
              <w:rPr>
                <w:rFonts w:cs="Arial"/>
                <w:b/>
                <w:bCs/>
                <w:iCs/>
                <w:sz w:val="16"/>
                <w:szCs w:val="16"/>
              </w:rPr>
              <w:t>Dependencia</w:t>
            </w:r>
          </w:p>
        </w:tc>
        <w:tc>
          <w:tcPr>
            <w:tcW w:w="4021" w:type="dxa"/>
            <w:vAlign w:val="center"/>
          </w:tcPr>
          <w:p w14:paraId="52450D25" w14:textId="77777777" w:rsidR="00906DEE" w:rsidRPr="007957BE" w:rsidRDefault="00906DEE" w:rsidP="005317D2">
            <w:pPr>
              <w:rPr>
                <w:rFonts w:cs="Arial"/>
                <w:b/>
                <w:bCs/>
                <w:iCs/>
                <w:sz w:val="16"/>
                <w:szCs w:val="16"/>
              </w:rPr>
            </w:pPr>
            <w:r w:rsidRPr="007957BE">
              <w:rPr>
                <w:rFonts w:cs="Arial"/>
                <w:b/>
                <w:bCs/>
                <w:iCs/>
                <w:sz w:val="16"/>
                <w:szCs w:val="16"/>
              </w:rPr>
              <w:t>Firma</w:t>
            </w:r>
          </w:p>
        </w:tc>
      </w:tr>
      <w:tr w:rsidR="00906DEE" w:rsidRPr="007957BE" w14:paraId="1E0E0490" w14:textId="77777777" w:rsidTr="005317D2">
        <w:trPr>
          <w:trHeight w:val="735"/>
          <w:jc w:val="center"/>
        </w:trPr>
        <w:tc>
          <w:tcPr>
            <w:tcW w:w="3617" w:type="dxa"/>
            <w:vAlign w:val="center"/>
          </w:tcPr>
          <w:p w14:paraId="73326F34" w14:textId="38F90E42" w:rsidR="00906DEE" w:rsidRPr="007957BE" w:rsidRDefault="00906DEE" w:rsidP="005317D2">
            <w:pPr>
              <w:rPr>
                <w:rFonts w:cs="Arial"/>
                <w:bCs/>
                <w:iCs/>
                <w:sz w:val="16"/>
                <w:szCs w:val="16"/>
              </w:rPr>
            </w:pPr>
          </w:p>
        </w:tc>
        <w:tc>
          <w:tcPr>
            <w:tcW w:w="1775" w:type="dxa"/>
            <w:vAlign w:val="center"/>
          </w:tcPr>
          <w:p w14:paraId="70E10BA8" w14:textId="77777777" w:rsidR="00906DEE" w:rsidRPr="007957BE" w:rsidRDefault="00906DEE" w:rsidP="005317D2">
            <w:pPr>
              <w:rPr>
                <w:rFonts w:cs="Arial"/>
                <w:bCs/>
                <w:iCs/>
                <w:sz w:val="16"/>
                <w:szCs w:val="16"/>
              </w:rPr>
            </w:pPr>
            <w:r w:rsidRPr="007957BE">
              <w:rPr>
                <w:rFonts w:cs="Arial"/>
                <w:bCs/>
                <w:iCs/>
                <w:sz w:val="16"/>
                <w:szCs w:val="16"/>
              </w:rPr>
              <w:t>Infraestructura</w:t>
            </w:r>
          </w:p>
        </w:tc>
        <w:tc>
          <w:tcPr>
            <w:tcW w:w="4021" w:type="dxa"/>
            <w:vAlign w:val="center"/>
          </w:tcPr>
          <w:p w14:paraId="04893049" w14:textId="77777777" w:rsidR="00906DEE" w:rsidRPr="007957BE" w:rsidRDefault="00906DEE" w:rsidP="005317D2">
            <w:pPr>
              <w:rPr>
                <w:rFonts w:cs="Arial"/>
                <w:bCs/>
                <w:iCs/>
                <w:sz w:val="16"/>
                <w:szCs w:val="16"/>
              </w:rPr>
            </w:pPr>
          </w:p>
        </w:tc>
      </w:tr>
      <w:bookmarkEnd w:id="31"/>
    </w:tbl>
    <w:p w14:paraId="34F4EE12" w14:textId="5D29BCB8" w:rsidR="003A19BF" w:rsidRPr="00AA11ED" w:rsidRDefault="003A19BF" w:rsidP="00906DEE">
      <w:pPr>
        <w:spacing w:after="0"/>
        <w:rPr>
          <w:rFonts w:ascii="Garamond" w:hAnsi="Garamond"/>
        </w:rPr>
      </w:pPr>
    </w:p>
    <w:p w14:paraId="37A53F63" w14:textId="58534854" w:rsidR="003A19BF" w:rsidRPr="00AA11ED" w:rsidRDefault="003A19BF" w:rsidP="00B3725C">
      <w:pPr>
        <w:spacing w:after="0"/>
        <w:jc w:val="center"/>
        <w:rPr>
          <w:rFonts w:ascii="Garamond" w:hAnsi="Garamond"/>
        </w:rPr>
      </w:pPr>
    </w:p>
    <w:sectPr w:rsidR="003A19BF" w:rsidRPr="00AA11ED" w:rsidSect="00C1257E">
      <w:headerReference w:type="even" r:id="rId22"/>
      <w:headerReference w:type="default" r:id="rId23"/>
      <w:footerReference w:type="even" r:id="rId24"/>
      <w:footerReference w:type="default" r:id="rId25"/>
      <w:headerReference w:type="first" r:id="rId26"/>
      <w:footerReference w:type="first" r:id="rId27"/>
      <w:pgSz w:w="12240" w:h="15840" w:code="1"/>
      <w:pgMar w:top="1134" w:right="1467" w:bottom="1134" w:left="1531" w:header="720" w:footer="474" w:gutter="0"/>
      <w:pgNumType w:chapStyle="1"/>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323CA0" w14:textId="77777777" w:rsidR="00FB5235" w:rsidRDefault="00FB5235" w:rsidP="007D0390">
      <w:pPr>
        <w:spacing w:after="0" w:line="240" w:lineRule="auto"/>
      </w:pPr>
      <w:r>
        <w:separator/>
      </w:r>
    </w:p>
  </w:endnote>
  <w:endnote w:type="continuationSeparator" w:id="0">
    <w:p w14:paraId="3034B457" w14:textId="77777777" w:rsidR="00FB5235" w:rsidRDefault="00FB5235" w:rsidP="007D0390">
      <w:pPr>
        <w:spacing w:after="0" w:line="240" w:lineRule="auto"/>
      </w:pPr>
      <w:r>
        <w:continuationSeparator/>
      </w:r>
    </w:p>
  </w:endnote>
  <w:endnote w:type="continuationNotice" w:id="1">
    <w:p w14:paraId="54D6A7A0" w14:textId="77777777" w:rsidR="00FB5235" w:rsidRDefault="00FB523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altName w:val="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Garamond">
    <w:panose1 w:val="02020404030301010803"/>
    <w:charset w:val="00"/>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Aptos Narrow">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354A59" w14:textId="59691389" w:rsidR="00E61115" w:rsidRDefault="00E61115" w:rsidP="00E61115">
    <w:pPr>
      <w:rPr>
        <w:b/>
      </w:rPr>
    </w:pPr>
    <w:r w:rsidRPr="00776FC8">
      <w:rPr>
        <w:rFonts w:ascii="Garamond" w:hAnsi="Garamond" w:cs="Calibri"/>
        <w:b/>
        <w:bCs/>
        <w:color w:val="000000"/>
      </w:rPr>
      <w:t xml:space="preserve">EJECUCIÓN DE OBRAS DE CONSERVACIÓN SOBRE LA MALLA VIAL LOCAL, INTERMEDIA Y ESPACIO PÚBLICO EN </w:t>
    </w:r>
    <w:r w:rsidR="00F323CB">
      <w:rPr>
        <w:rFonts w:ascii="Garamond" w:hAnsi="Garamond" w:cs="Calibri"/>
        <w:b/>
        <w:bCs/>
        <w:color w:val="000000"/>
      </w:rPr>
      <w:t>LOS MARTIRES</w:t>
    </w:r>
    <w:r w:rsidRPr="00776FC8">
      <w:rPr>
        <w:rFonts w:ascii="Garamond" w:hAnsi="Garamond" w:cs="Calibri"/>
        <w:b/>
        <w:bCs/>
        <w:color w:val="000000"/>
      </w:rPr>
      <w:t xml:space="preserve">, BOGOTÁ D.C., BAJO LA MODALIDAD DE </w:t>
    </w:r>
    <w:r w:rsidR="00AB34DB">
      <w:rPr>
        <w:rFonts w:ascii="Garamond" w:hAnsi="Garamond" w:cs="Calibri"/>
        <w:b/>
        <w:bCs/>
        <w:color w:val="000000"/>
      </w:rPr>
      <w:t>CONTRATACION DIRECTA</w:t>
    </w:r>
  </w:p>
  <w:p w14:paraId="03930906" w14:textId="76C2638A" w:rsidR="00C25EC3" w:rsidRPr="00C1257E" w:rsidRDefault="00C25EC3" w:rsidP="00C25EC3">
    <w:pPr>
      <w:jc w:val="center"/>
      <w:rPr>
        <w:b/>
      </w:rPr>
    </w:pPr>
    <w:r>
      <w:rPr>
        <w:b/>
      </w:rPr>
      <w:t xml:space="preserve">Fondo de Desarrollo Local de </w:t>
    </w:r>
    <w:r w:rsidR="00F323CB">
      <w:rPr>
        <w:b/>
      </w:rPr>
      <w:t xml:space="preserve">Los </w:t>
    </w:r>
    <w:r w:rsidR="004924EB">
      <w:rPr>
        <w:b/>
      </w:rPr>
      <w:t>Mártires</w:t>
    </w:r>
  </w:p>
  <w:tbl>
    <w:tblPr>
      <w:tblStyle w:val="Cuadrculadetablaclara1"/>
      <w:tblW w:w="22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885"/>
      <w:gridCol w:w="2224"/>
      <w:gridCol w:w="1144"/>
      <w:gridCol w:w="345"/>
    </w:tblGrid>
    <w:tr w:rsidR="00C25EC3" w14:paraId="192370F0" w14:textId="77777777" w:rsidTr="003C1307">
      <w:trPr>
        <w:trHeight w:val="220"/>
      </w:trPr>
      <w:tc>
        <w:tcPr>
          <w:tcW w:w="963" w:type="pct"/>
          <w:tcBorders>
            <w:top w:val="dotted" w:sz="4" w:space="0" w:color="auto"/>
            <w:left w:val="dotted" w:sz="4" w:space="0" w:color="auto"/>
            <w:bottom w:val="dotted" w:sz="4" w:space="0" w:color="auto"/>
            <w:right w:val="dotted" w:sz="4" w:space="0" w:color="auto"/>
          </w:tcBorders>
          <w:vAlign w:val="center"/>
          <w:hideMark/>
        </w:tcPr>
        <w:p w14:paraId="3ACDDC69" w14:textId="77777777" w:rsidR="00C25EC3" w:rsidRDefault="00C25EC3" w:rsidP="00C25EC3">
          <w:pPr>
            <w:spacing w:after="4" w:line="247" w:lineRule="auto"/>
            <w:ind w:left="10" w:hanging="10"/>
            <w:rPr>
              <w:rFonts w:ascii="Calibri" w:eastAsia="Arial" w:hAnsi="Calibri" w:cs="Arial"/>
              <w:b/>
              <w:sz w:val="16"/>
              <w:szCs w:val="16"/>
              <w:lang w:eastAsia="es-CO"/>
            </w:rPr>
          </w:pPr>
          <w:r>
            <w:rPr>
              <w:rFonts w:eastAsia="Arial" w:cs="Arial"/>
              <w:b/>
              <w:sz w:val="16"/>
              <w:szCs w:val="16"/>
              <w:lang w:eastAsia="es-CO"/>
            </w:rPr>
            <w:t>Código</w:t>
          </w:r>
        </w:p>
      </w:tc>
      <w:tc>
        <w:tcPr>
          <w:tcW w:w="2418" w:type="pct"/>
          <w:tcBorders>
            <w:top w:val="dotted" w:sz="4" w:space="0" w:color="auto"/>
            <w:left w:val="dotted" w:sz="4" w:space="0" w:color="auto"/>
            <w:bottom w:val="dotted" w:sz="4" w:space="0" w:color="auto"/>
            <w:right w:val="dotted" w:sz="4" w:space="0" w:color="auto"/>
          </w:tcBorders>
          <w:vAlign w:val="center"/>
          <w:hideMark/>
        </w:tcPr>
        <w:p w14:paraId="068D6896" w14:textId="77777777" w:rsidR="00C25EC3" w:rsidRDefault="00C25EC3" w:rsidP="00C25EC3">
          <w:pPr>
            <w:spacing w:after="4" w:line="247" w:lineRule="auto"/>
            <w:ind w:left="10" w:hanging="10"/>
            <w:rPr>
              <w:rFonts w:eastAsia="Arial" w:cs="Arial"/>
              <w:sz w:val="16"/>
              <w:szCs w:val="16"/>
              <w:lang w:eastAsia="es-CO"/>
            </w:rPr>
          </w:pPr>
          <w:r>
            <w:rPr>
              <w:rFonts w:eastAsia="Arial" w:cs="Arial"/>
              <w:sz w:val="16"/>
              <w:szCs w:val="16"/>
              <w:lang w:eastAsia="es-CO"/>
            </w:rPr>
            <w:t>CCE-EICP-IDI-</w:t>
          </w:r>
          <w:r w:rsidRPr="0070154D">
            <w:rPr>
              <w:rFonts w:eastAsia="Arial" w:cs="Arial"/>
              <w:sz w:val="16"/>
              <w:szCs w:val="16"/>
              <w:lang w:eastAsia="es-CO"/>
            </w:rPr>
            <w:t>01</w:t>
          </w:r>
        </w:p>
      </w:tc>
      <w:tc>
        <w:tcPr>
          <w:tcW w:w="1244" w:type="pct"/>
          <w:tcBorders>
            <w:top w:val="dotted" w:sz="4" w:space="0" w:color="auto"/>
            <w:left w:val="dotted" w:sz="4" w:space="0" w:color="auto"/>
            <w:bottom w:val="dotted" w:sz="4" w:space="0" w:color="auto"/>
            <w:right w:val="dotted" w:sz="4" w:space="0" w:color="auto"/>
          </w:tcBorders>
          <w:vAlign w:val="center"/>
          <w:hideMark/>
        </w:tcPr>
        <w:p w14:paraId="79F1FE0F" w14:textId="77777777" w:rsidR="00C25EC3" w:rsidRDefault="00C25EC3" w:rsidP="00C25EC3">
          <w:pPr>
            <w:spacing w:after="4" w:line="247" w:lineRule="auto"/>
            <w:ind w:left="10" w:hanging="10"/>
            <w:jc w:val="center"/>
            <w:rPr>
              <w:rFonts w:eastAsia="Arial" w:cs="Arial"/>
              <w:b/>
              <w:sz w:val="16"/>
              <w:szCs w:val="16"/>
              <w:lang w:eastAsia="es-CO"/>
            </w:rPr>
          </w:pPr>
          <w:r>
            <w:rPr>
              <w:rFonts w:eastAsia="Arial" w:cs="Arial"/>
              <w:b/>
              <w:sz w:val="16"/>
              <w:szCs w:val="16"/>
              <w:lang w:eastAsia="es-CO"/>
            </w:rPr>
            <w:t>Versión</w:t>
          </w:r>
        </w:p>
      </w:tc>
      <w:tc>
        <w:tcPr>
          <w:tcW w:w="375" w:type="pct"/>
          <w:tcBorders>
            <w:top w:val="dotted" w:sz="4" w:space="0" w:color="auto"/>
            <w:left w:val="dotted" w:sz="4" w:space="0" w:color="auto"/>
            <w:bottom w:val="dotted" w:sz="4" w:space="0" w:color="auto"/>
            <w:right w:val="dotted" w:sz="4" w:space="0" w:color="auto"/>
          </w:tcBorders>
          <w:vAlign w:val="center"/>
          <w:hideMark/>
        </w:tcPr>
        <w:p w14:paraId="53AC6ECC" w14:textId="3882BFFB" w:rsidR="00C25EC3" w:rsidRDefault="00B63BE5" w:rsidP="00C25EC3">
          <w:pPr>
            <w:spacing w:after="4" w:line="247" w:lineRule="auto"/>
            <w:ind w:left="10" w:hanging="10"/>
            <w:rPr>
              <w:rFonts w:eastAsia="Arial" w:cs="Arial"/>
              <w:sz w:val="16"/>
              <w:szCs w:val="16"/>
              <w:lang w:eastAsia="es-CO"/>
            </w:rPr>
          </w:pPr>
          <w:r>
            <w:rPr>
              <w:rFonts w:eastAsia="Arial" w:cs="Arial"/>
              <w:sz w:val="16"/>
              <w:szCs w:val="16"/>
              <w:lang w:eastAsia="es-CO"/>
            </w:rPr>
            <w:t>4</w:t>
          </w:r>
        </w:p>
      </w:tc>
    </w:tr>
  </w:tbl>
  <w:p w14:paraId="6DA859E2" w14:textId="6346115C" w:rsidR="00D50892" w:rsidRDefault="00D50892">
    <w:pPr>
      <w:pStyle w:val="Textoindependiente"/>
      <w:spacing w:line="14" w:lineRule="auto"/>
      <w:rPr>
        <w:sz w:val="17"/>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38F8BF" w14:textId="26E62F7A" w:rsidR="00BC7CB9" w:rsidRDefault="00BC7CB9">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E2F95" w14:textId="470F4141" w:rsidR="00C25EC3" w:rsidRPr="00C1257E" w:rsidRDefault="00C25EC3" w:rsidP="00C25EC3">
    <w:pPr>
      <w:jc w:val="center"/>
      <w:rPr>
        <w:b/>
      </w:rPr>
    </w:pPr>
    <w:r>
      <w:rPr>
        <w:b/>
      </w:rPr>
      <w:t xml:space="preserve">Fondo de Desarrollo Local de </w:t>
    </w:r>
    <w:r w:rsidR="00F323CB">
      <w:rPr>
        <w:b/>
      </w:rPr>
      <w:t xml:space="preserve">Los </w:t>
    </w:r>
    <w:r w:rsidR="001B710E">
      <w:rPr>
        <w:b/>
      </w:rPr>
      <w:t>Mártires</w:t>
    </w:r>
  </w:p>
  <w:tbl>
    <w:tblPr>
      <w:tblStyle w:val="Cuadrculadetablaclara1"/>
      <w:tblW w:w="22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782"/>
      <w:gridCol w:w="1964"/>
      <w:gridCol w:w="1011"/>
      <w:gridCol w:w="305"/>
    </w:tblGrid>
    <w:tr w:rsidR="00C667D0" w14:paraId="15797857" w14:textId="77777777" w:rsidTr="00C25EC3">
      <w:trPr>
        <w:trHeight w:val="220"/>
      </w:trPr>
      <w:tc>
        <w:tcPr>
          <w:tcW w:w="963" w:type="pct"/>
          <w:tcBorders>
            <w:top w:val="dotted" w:sz="4" w:space="0" w:color="auto"/>
            <w:left w:val="dotted" w:sz="4" w:space="0" w:color="auto"/>
            <w:bottom w:val="dotted" w:sz="4" w:space="0" w:color="auto"/>
            <w:right w:val="dotted" w:sz="4" w:space="0" w:color="auto"/>
          </w:tcBorders>
          <w:vAlign w:val="center"/>
          <w:hideMark/>
        </w:tcPr>
        <w:p w14:paraId="38E1A572" w14:textId="77777777" w:rsidR="00C667D0" w:rsidRDefault="00C667D0" w:rsidP="00C667D0">
          <w:pPr>
            <w:spacing w:after="4" w:line="247" w:lineRule="auto"/>
            <w:ind w:left="10" w:hanging="10"/>
            <w:rPr>
              <w:rFonts w:ascii="Calibri" w:eastAsia="Arial" w:hAnsi="Calibri" w:cs="Arial"/>
              <w:b/>
              <w:sz w:val="16"/>
              <w:szCs w:val="16"/>
              <w:lang w:eastAsia="es-CO"/>
            </w:rPr>
          </w:pPr>
          <w:r>
            <w:rPr>
              <w:rFonts w:eastAsia="Arial" w:cs="Arial"/>
              <w:b/>
              <w:sz w:val="16"/>
              <w:szCs w:val="16"/>
              <w:lang w:eastAsia="es-CO"/>
            </w:rPr>
            <w:t>Código</w:t>
          </w:r>
        </w:p>
      </w:tc>
      <w:tc>
        <w:tcPr>
          <w:tcW w:w="2418" w:type="pct"/>
          <w:tcBorders>
            <w:top w:val="dotted" w:sz="4" w:space="0" w:color="auto"/>
            <w:left w:val="dotted" w:sz="4" w:space="0" w:color="auto"/>
            <w:bottom w:val="dotted" w:sz="4" w:space="0" w:color="auto"/>
            <w:right w:val="dotted" w:sz="4" w:space="0" w:color="auto"/>
          </w:tcBorders>
          <w:vAlign w:val="center"/>
          <w:hideMark/>
        </w:tcPr>
        <w:p w14:paraId="4394E772" w14:textId="39BAB9F7" w:rsidR="00C667D0" w:rsidRDefault="00C667D0" w:rsidP="00C667D0">
          <w:pPr>
            <w:spacing w:after="4" w:line="247" w:lineRule="auto"/>
            <w:ind w:left="10" w:hanging="10"/>
            <w:rPr>
              <w:rFonts w:eastAsia="Arial" w:cs="Arial"/>
              <w:sz w:val="16"/>
              <w:szCs w:val="16"/>
              <w:lang w:eastAsia="es-CO"/>
            </w:rPr>
          </w:pPr>
          <w:r>
            <w:rPr>
              <w:rFonts w:eastAsia="Arial" w:cs="Arial"/>
              <w:sz w:val="16"/>
              <w:szCs w:val="16"/>
              <w:lang w:eastAsia="es-CO"/>
            </w:rPr>
            <w:t>CCE-EICP-IDI-</w:t>
          </w:r>
          <w:r w:rsidR="0070154D" w:rsidRPr="0070154D">
            <w:rPr>
              <w:rFonts w:eastAsia="Arial" w:cs="Arial"/>
              <w:sz w:val="16"/>
              <w:szCs w:val="16"/>
              <w:lang w:eastAsia="es-CO"/>
            </w:rPr>
            <w:t>01</w:t>
          </w:r>
        </w:p>
      </w:tc>
      <w:tc>
        <w:tcPr>
          <w:tcW w:w="1244" w:type="pct"/>
          <w:tcBorders>
            <w:top w:val="dotted" w:sz="4" w:space="0" w:color="auto"/>
            <w:left w:val="dotted" w:sz="4" w:space="0" w:color="auto"/>
            <w:bottom w:val="dotted" w:sz="4" w:space="0" w:color="auto"/>
            <w:right w:val="dotted" w:sz="4" w:space="0" w:color="auto"/>
          </w:tcBorders>
          <w:vAlign w:val="center"/>
          <w:hideMark/>
        </w:tcPr>
        <w:p w14:paraId="427FE2DF" w14:textId="77777777" w:rsidR="00C667D0" w:rsidRDefault="00C667D0" w:rsidP="00C667D0">
          <w:pPr>
            <w:spacing w:after="4" w:line="247" w:lineRule="auto"/>
            <w:ind w:left="10" w:hanging="10"/>
            <w:jc w:val="center"/>
            <w:rPr>
              <w:rFonts w:eastAsia="Arial" w:cs="Arial"/>
              <w:b/>
              <w:sz w:val="16"/>
              <w:szCs w:val="16"/>
              <w:lang w:eastAsia="es-CO"/>
            </w:rPr>
          </w:pPr>
          <w:r>
            <w:rPr>
              <w:rFonts w:eastAsia="Arial" w:cs="Arial"/>
              <w:b/>
              <w:sz w:val="16"/>
              <w:szCs w:val="16"/>
              <w:lang w:eastAsia="es-CO"/>
            </w:rPr>
            <w:t>Versión</w:t>
          </w:r>
        </w:p>
      </w:tc>
      <w:tc>
        <w:tcPr>
          <w:tcW w:w="375" w:type="pct"/>
          <w:tcBorders>
            <w:top w:val="dotted" w:sz="4" w:space="0" w:color="auto"/>
            <w:left w:val="dotted" w:sz="4" w:space="0" w:color="auto"/>
            <w:bottom w:val="dotted" w:sz="4" w:space="0" w:color="auto"/>
            <w:right w:val="dotted" w:sz="4" w:space="0" w:color="auto"/>
          </w:tcBorders>
          <w:vAlign w:val="center"/>
          <w:hideMark/>
        </w:tcPr>
        <w:p w14:paraId="3F2F526A" w14:textId="0CC5F11C" w:rsidR="00C667D0" w:rsidRDefault="00B63BE5" w:rsidP="00C667D0">
          <w:pPr>
            <w:spacing w:after="4" w:line="247" w:lineRule="auto"/>
            <w:ind w:left="10" w:hanging="10"/>
            <w:rPr>
              <w:rFonts w:eastAsia="Arial" w:cs="Arial"/>
              <w:sz w:val="16"/>
              <w:szCs w:val="16"/>
              <w:lang w:eastAsia="es-CO"/>
            </w:rPr>
          </w:pPr>
          <w:r>
            <w:rPr>
              <w:rFonts w:eastAsia="Arial" w:cs="Arial"/>
              <w:sz w:val="16"/>
              <w:szCs w:val="16"/>
              <w:lang w:eastAsia="es-CO"/>
            </w:rPr>
            <w:t>4</w:t>
          </w:r>
        </w:p>
      </w:tc>
    </w:tr>
  </w:tbl>
  <w:p w14:paraId="517C5488" w14:textId="77777777" w:rsidR="000268C3" w:rsidRPr="00C26F61" w:rsidRDefault="000268C3" w:rsidP="007F467B">
    <w:pPr>
      <w:widowControl w:val="0"/>
      <w:autoSpaceDE w:val="0"/>
      <w:autoSpaceDN w:val="0"/>
      <w:adjustRightInd w:val="0"/>
      <w:spacing w:after="0" w:line="265" w:lineRule="exact"/>
      <w:ind w:left="-18" w:right="-38"/>
      <w:jc w:val="center"/>
      <w:rPr>
        <w:rFonts w:ascii="Times New Roman" w:hAnsi="Times New Roman"/>
        <w:color w:val="000000" w:themeColor="text1"/>
        <w:sz w:val="24"/>
        <w:szCs w:val="2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FC37B5" w14:textId="1873CA72" w:rsidR="00BC7CB9" w:rsidRDefault="00BC7CB9">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4A33E4" w14:textId="77777777" w:rsidR="00FB5235" w:rsidRDefault="00FB5235" w:rsidP="007D0390">
      <w:pPr>
        <w:spacing w:after="0" w:line="240" w:lineRule="auto"/>
      </w:pPr>
      <w:r>
        <w:separator/>
      </w:r>
    </w:p>
  </w:footnote>
  <w:footnote w:type="continuationSeparator" w:id="0">
    <w:p w14:paraId="488ECC6A" w14:textId="77777777" w:rsidR="00FB5235" w:rsidRDefault="00FB5235" w:rsidP="007D0390">
      <w:pPr>
        <w:spacing w:after="0" w:line="240" w:lineRule="auto"/>
      </w:pPr>
      <w:r>
        <w:continuationSeparator/>
      </w:r>
    </w:p>
  </w:footnote>
  <w:footnote w:type="continuationNotice" w:id="1">
    <w:p w14:paraId="50145C93" w14:textId="77777777" w:rsidR="00FB5235" w:rsidRDefault="00FB523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Cuadrculadetablaclara1"/>
      <w:tblW w:w="4901"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1381"/>
      <w:gridCol w:w="5400"/>
      <w:gridCol w:w="1104"/>
      <w:gridCol w:w="2358"/>
    </w:tblGrid>
    <w:tr w:rsidR="00CF1375" w:rsidRPr="00E74346" w14:paraId="1CF014D3" w14:textId="77777777" w:rsidTr="00BF1D3C">
      <w:trPr>
        <w:trHeight w:val="146"/>
        <w:jc w:val="center"/>
      </w:trPr>
      <w:tc>
        <w:tcPr>
          <w:tcW w:w="5000" w:type="pct"/>
          <w:gridSpan w:val="4"/>
          <w:vAlign w:val="center"/>
        </w:tcPr>
        <w:p w14:paraId="27F82895" w14:textId="77777777" w:rsidR="00CF1375" w:rsidRPr="00E74346" w:rsidRDefault="00CF1375" w:rsidP="00CF1375">
          <w:pPr>
            <w:tabs>
              <w:tab w:val="center" w:pos="4419"/>
              <w:tab w:val="right" w:pos="8838"/>
            </w:tabs>
            <w:spacing w:after="0" w:line="240" w:lineRule="auto"/>
            <w:jc w:val="center"/>
            <w:rPr>
              <w:rFonts w:eastAsiaTheme="minorHAnsi" w:cs="Arial"/>
              <w:b/>
              <w:color w:val="3B3838" w:themeColor="background2" w:themeShade="40"/>
              <w:sz w:val="16"/>
              <w:szCs w:val="16"/>
            </w:rPr>
          </w:pPr>
          <w:r>
            <w:rPr>
              <w:rFonts w:eastAsiaTheme="minorHAnsi" w:cs="Arial"/>
              <w:b/>
              <w:color w:val="3B3838" w:themeColor="background2" w:themeShade="40"/>
              <w:sz w:val="16"/>
              <w:szCs w:val="16"/>
            </w:rPr>
            <w:t>ANEXO 1 – ANEXO TÉCNICO</w:t>
          </w:r>
        </w:p>
        <w:p w14:paraId="7639A807" w14:textId="1E6E964B" w:rsidR="00CF1375" w:rsidRPr="00E74346" w:rsidRDefault="00EE59FD" w:rsidP="00CF1375">
          <w:pPr>
            <w:tabs>
              <w:tab w:val="center" w:pos="4419"/>
              <w:tab w:val="right" w:pos="8838"/>
            </w:tabs>
            <w:spacing w:after="0" w:line="240" w:lineRule="auto"/>
            <w:jc w:val="center"/>
            <w:rPr>
              <w:rFonts w:eastAsiaTheme="minorEastAsia" w:cs="Arial"/>
              <w:b/>
              <w:bCs/>
              <w:color w:val="3B3838" w:themeColor="background2" w:themeShade="40"/>
              <w:sz w:val="16"/>
              <w:szCs w:val="16"/>
            </w:rPr>
          </w:pPr>
          <w:r w:rsidRPr="00CC224F">
            <w:rPr>
              <w:rFonts w:eastAsiaTheme="minorHAnsi" w:cs="Arial"/>
              <w:b/>
              <w:color w:val="3B3838" w:themeColor="background2" w:themeShade="40"/>
              <w:sz w:val="16"/>
              <w:szCs w:val="16"/>
            </w:rPr>
            <w:t>CONVENIO INTERADMINISTRATIVO</w:t>
          </w:r>
          <w:r w:rsidR="00CF1375" w:rsidRPr="00CC224F">
            <w:rPr>
              <w:rFonts w:eastAsiaTheme="minorHAnsi" w:cs="Arial"/>
              <w:b/>
              <w:color w:val="3B3838" w:themeColor="background2" w:themeShade="40"/>
              <w:sz w:val="16"/>
              <w:szCs w:val="16"/>
            </w:rPr>
            <w:t xml:space="preserve"> DE INFRAESTRUCTURA DE TRANSPORTE (VERSIÓN 4)</w:t>
          </w:r>
          <w:r w:rsidR="00CF1375" w:rsidRPr="00F008A9">
            <w:rPr>
              <w:rFonts w:eastAsiaTheme="minorEastAsia" w:cs="Arial"/>
              <w:b/>
              <w:bCs/>
              <w:color w:val="FF0000"/>
              <w:sz w:val="16"/>
              <w:szCs w:val="16"/>
            </w:rPr>
            <w:t xml:space="preserve"> </w:t>
          </w:r>
        </w:p>
      </w:tc>
    </w:tr>
    <w:tr w:rsidR="00CF1375" w:rsidRPr="00E74346" w14:paraId="5816909B" w14:textId="77777777" w:rsidTr="00BF1D3C">
      <w:trPr>
        <w:trHeight w:val="234"/>
        <w:jc w:val="center"/>
      </w:trPr>
      <w:tc>
        <w:tcPr>
          <w:tcW w:w="674" w:type="pct"/>
          <w:vAlign w:val="center"/>
        </w:tcPr>
        <w:p w14:paraId="415B94EE" w14:textId="77777777" w:rsidR="00CF1375" w:rsidRPr="00E74346" w:rsidRDefault="00CF1375" w:rsidP="00CF1375">
          <w:pPr>
            <w:spacing w:after="4" w:line="249" w:lineRule="auto"/>
            <w:ind w:left="10" w:hanging="10"/>
            <w:jc w:val="left"/>
            <w:rPr>
              <w:rFonts w:cs="Arial"/>
              <w:b/>
              <w:color w:val="595959"/>
              <w:sz w:val="18"/>
              <w:szCs w:val="18"/>
            </w:rPr>
          </w:pPr>
          <w:r w:rsidRPr="00E74346">
            <w:rPr>
              <w:rFonts w:cs="Arial"/>
              <w:b/>
              <w:color w:val="595959"/>
              <w:sz w:val="18"/>
              <w:szCs w:val="18"/>
            </w:rPr>
            <w:t>Código</w:t>
          </w:r>
        </w:p>
      </w:tc>
      <w:tc>
        <w:tcPr>
          <w:tcW w:w="2636" w:type="pct"/>
          <w:vAlign w:val="center"/>
        </w:tcPr>
        <w:p w14:paraId="716D43BA" w14:textId="77777777" w:rsidR="00CF1375" w:rsidRPr="00E74346" w:rsidRDefault="00CF1375" w:rsidP="00CF1375">
          <w:pPr>
            <w:spacing w:after="4" w:line="249" w:lineRule="auto"/>
            <w:ind w:left="10" w:hanging="10"/>
            <w:jc w:val="left"/>
            <w:rPr>
              <w:rFonts w:cs="Arial"/>
              <w:color w:val="595959"/>
              <w:sz w:val="16"/>
              <w:szCs w:val="16"/>
            </w:rPr>
          </w:pPr>
          <w:r w:rsidRPr="00E74346">
            <w:rPr>
              <w:rFonts w:eastAsiaTheme="minorHAnsi" w:cs="Arial"/>
              <w:color w:val="3B3838" w:themeColor="background2" w:themeShade="40"/>
              <w:sz w:val="16"/>
              <w:szCs w:val="16"/>
            </w:rPr>
            <w:t>CCE-EICP-</w:t>
          </w:r>
          <w:r>
            <w:rPr>
              <w:rFonts w:eastAsiaTheme="minorHAnsi" w:cs="Arial"/>
              <w:color w:val="3B3838" w:themeColor="background2" w:themeShade="40"/>
              <w:sz w:val="16"/>
              <w:szCs w:val="16"/>
            </w:rPr>
            <w:t>ID</w:t>
          </w:r>
          <w:r w:rsidRPr="00E74346">
            <w:rPr>
              <w:rFonts w:eastAsiaTheme="minorHAnsi" w:cs="Arial"/>
              <w:color w:val="3B3838" w:themeColor="background2" w:themeShade="40"/>
              <w:sz w:val="16"/>
              <w:szCs w:val="16"/>
            </w:rPr>
            <w:t>I-01</w:t>
          </w:r>
        </w:p>
      </w:tc>
      <w:tc>
        <w:tcPr>
          <w:tcW w:w="539" w:type="pct"/>
          <w:vAlign w:val="center"/>
        </w:tcPr>
        <w:p w14:paraId="07CC2B8A" w14:textId="77777777" w:rsidR="00CF1375" w:rsidRPr="00E74346" w:rsidRDefault="00CF1375" w:rsidP="00CF1375">
          <w:pPr>
            <w:spacing w:after="4" w:line="249" w:lineRule="auto"/>
            <w:ind w:left="10" w:hanging="10"/>
            <w:jc w:val="center"/>
            <w:rPr>
              <w:rFonts w:cs="Arial"/>
              <w:b/>
              <w:color w:val="595959"/>
              <w:sz w:val="16"/>
              <w:szCs w:val="16"/>
            </w:rPr>
          </w:pPr>
          <w:r w:rsidRPr="00E74346">
            <w:rPr>
              <w:rFonts w:cs="Arial"/>
              <w:b/>
              <w:color w:val="595959"/>
              <w:sz w:val="16"/>
              <w:szCs w:val="16"/>
            </w:rPr>
            <w:t>Página</w:t>
          </w:r>
        </w:p>
      </w:tc>
      <w:tc>
        <w:tcPr>
          <w:tcW w:w="1150" w:type="pct"/>
          <w:vAlign w:val="center"/>
        </w:tcPr>
        <w:p w14:paraId="3EAEEF13" w14:textId="77777777" w:rsidR="00CF1375" w:rsidRPr="00E74346" w:rsidRDefault="00CF1375" w:rsidP="00CF1375">
          <w:pPr>
            <w:spacing w:after="4" w:line="249" w:lineRule="auto"/>
            <w:ind w:left="10" w:hanging="10"/>
            <w:jc w:val="left"/>
            <w:rPr>
              <w:rFonts w:cs="Arial"/>
              <w:color w:val="595959"/>
              <w:sz w:val="16"/>
              <w:szCs w:val="16"/>
            </w:rPr>
          </w:pPr>
          <w:r w:rsidRPr="00E74346">
            <w:rPr>
              <w:rFonts w:cs="Arial"/>
              <w:color w:val="595959"/>
              <w:sz w:val="16"/>
              <w:szCs w:val="16"/>
              <w:shd w:val="clear" w:color="auto" w:fill="E6E6E6"/>
            </w:rPr>
            <w:fldChar w:fldCharType="begin"/>
          </w:r>
          <w:r w:rsidRPr="00E74346">
            <w:rPr>
              <w:rFonts w:cs="Arial"/>
              <w:color w:val="595959"/>
              <w:sz w:val="16"/>
              <w:szCs w:val="16"/>
            </w:rPr>
            <w:instrText xml:space="preserve"> PAGE </w:instrText>
          </w:r>
          <w:r w:rsidRPr="00E74346">
            <w:rPr>
              <w:rFonts w:cs="Arial"/>
              <w:color w:val="595959"/>
              <w:sz w:val="16"/>
              <w:szCs w:val="16"/>
              <w:shd w:val="clear" w:color="auto" w:fill="E6E6E6"/>
            </w:rPr>
            <w:fldChar w:fldCharType="separate"/>
          </w:r>
          <w:r w:rsidRPr="00E74346">
            <w:rPr>
              <w:rFonts w:cs="Arial"/>
              <w:color w:val="595959"/>
              <w:sz w:val="16"/>
              <w:szCs w:val="16"/>
            </w:rPr>
            <w:t>20</w:t>
          </w:r>
          <w:r w:rsidRPr="00E74346">
            <w:rPr>
              <w:rFonts w:cs="Arial"/>
              <w:color w:val="595959"/>
              <w:sz w:val="16"/>
              <w:szCs w:val="16"/>
              <w:shd w:val="clear" w:color="auto" w:fill="E6E6E6"/>
            </w:rPr>
            <w:fldChar w:fldCharType="end"/>
          </w:r>
          <w:r w:rsidRPr="00E74346">
            <w:rPr>
              <w:rFonts w:cs="Arial"/>
              <w:color w:val="595959"/>
              <w:sz w:val="16"/>
              <w:szCs w:val="16"/>
            </w:rPr>
            <w:t xml:space="preserve"> de </w:t>
          </w:r>
          <w:r w:rsidRPr="00E74346">
            <w:rPr>
              <w:rFonts w:cs="Arial"/>
              <w:color w:val="595959"/>
              <w:sz w:val="16"/>
              <w:szCs w:val="16"/>
              <w:shd w:val="clear" w:color="auto" w:fill="E6E6E6"/>
            </w:rPr>
            <w:fldChar w:fldCharType="begin"/>
          </w:r>
          <w:r w:rsidRPr="00E74346">
            <w:rPr>
              <w:rFonts w:cs="Arial"/>
              <w:color w:val="595959"/>
              <w:sz w:val="16"/>
              <w:szCs w:val="16"/>
            </w:rPr>
            <w:instrText xml:space="preserve"> NUMPAGES </w:instrText>
          </w:r>
          <w:r w:rsidRPr="00E74346">
            <w:rPr>
              <w:rFonts w:cs="Arial"/>
              <w:color w:val="595959"/>
              <w:sz w:val="16"/>
              <w:szCs w:val="16"/>
              <w:shd w:val="clear" w:color="auto" w:fill="E6E6E6"/>
            </w:rPr>
            <w:fldChar w:fldCharType="separate"/>
          </w:r>
          <w:r w:rsidRPr="00E74346">
            <w:rPr>
              <w:rFonts w:cs="Arial"/>
              <w:color w:val="595959"/>
              <w:sz w:val="16"/>
              <w:szCs w:val="16"/>
            </w:rPr>
            <w:t>20</w:t>
          </w:r>
          <w:r w:rsidRPr="00E74346">
            <w:rPr>
              <w:rFonts w:cs="Arial"/>
              <w:color w:val="595959"/>
              <w:sz w:val="16"/>
              <w:szCs w:val="16"/>
              <w:shd w:val="clear" w:color="auto" w:fill="E6E6E6"/>
            </w:rPr>
            <w:fldChar w:fldCharType="end"/>
          </w:r>
        </w:p>
      </w:tc>
    </w:tr>
    <w:tr w:rsidR="00CF1375" w:rsidRPr="00E74346" w14:paraId="28EDB5DD" w14:textId="77777777" w:rsidTr="00BF1D3C">
      <w:trPr>
        <w:trHeight w:val="73"/>
        <w:jc w:val="center"/>
      </w:trPr>
      <w:tc>
        <w:tcPr>
          <w:tcW w:w="674" w:type="pct"/>
          <w:vAlign w:val="center"/>
        </w:tcPr>
        <w:p w14:paraId="74B668F1" w14:textId="77777777" w:rsidR="00CF1375" w:rsidRPr="00E74346" w:rsidRDefault="00CF1375" w:rsidP="00CF1375">
          <w:pPr>
            <w:spacing w:after="4" w:line="249" w:lineRule="auto"/>
            <w:ind w:left="10" w:hanging="10"/>
            <w:jc w:val="left"/>
            <w:rPr>
              <w:rFonts w:cs="Arial"/>
              <w:b/>
              <w:color w:val="595959"/>
              <w:sz w:val="18"/>
              <w:szCs w:val="18"/>
            </w:rPr>
          </w:pPr>
          <w:r w:rsidRPr="00E74346">
            <w:rPr>
              <w:rFonts w:cs="Arial"/>
              <w:b/>
              <w:color w:val="595959"/>
              <w:sz w:val="18"/>
              <w:szCs w:val="18"/>
            </w:rPr>
            <w:t>Versión No.</w:t>
          </w:r>
        </w:p>
      </w:tc>
      <w:tc>
        <w:tcPr>
          <w:tcW w:w="4325" w:type="pct"/>
          <w:gridSpan w:val="3"/>
          <w:vAlign w:val="center"/>
        </w:tcPr>
        <w:p w14:paraId="14E4CF34" w14:textId="77777777" w:rsidR="00CF1375" w:rsidRPr="00E74346" w:rsidRDefault="00CF1375" w:rsidP="00CF1375">
          <w:pPr>
            <w:spacing w:after="4" w:line="249" w:lineRule="auto"/>
            <w:ind w:left="10" w:hanging="10"/>
            <w:jc w:val="left"/>
            <w:rPr>
              <w:rFonts w:cs="Arial"/>
              <w:color w:val="595959"/>
              <w:sz w:val="16"/>
              <w:szCs w:val="16"/>
            </w:rPr>
          </w:pPr>
          <w:r w:rsidRPr="7B28515E">
            <w:rPr>
              <w:rFonts w:cs="Arial"/>
              <w:color w:val="595959" w:themeColor="text1" w:themeTint="A6"/>
              <w:sz w:val="16"/>
              <w:szCs w:val="16"/>
            </w:rPr>
            <w:t>4</w:t>
          </w:r>
        </w:p>
      </w:tc>
    </w:tr>
  </w:tbl>
  <w:p w14:paraId="62E86CD3" w14:textId="412497DE" w:rsidR="00D50892" w:rsidRDefault="00D50892">
    <w:pPr>
      <w:pStyle w:val="Textoindependiente"/>
      <w:spacing w:line="14" w:lineRule="auto"/>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C435E" w14:textId="54935CD0" w:rsidR="000268C3" w:rsidRDefault="000268C3" w:rsidP="00B92F6B">
    <w:pPr>
      <w:pStyle w:val="Encabezado"/>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9D5850">
      <w:rPr>
        <w:rStyle w:val="Nmerodepgina"/>
        <w:noProof/>
      </w:rPr>
      <w:t>55</w:t>
    </w:r>
    <w:r>
      <w:rPr>
        <w:rStyle w:val="Nmerodepgina"/>
      </w:rPr>
      <w:fldChar w:fldCharType="end"/>
    </w:r>
  </w:p>
  <w:p w14:paraId="26913621" w14:textId="77777777" w:rsidR="000268C3" w:rsidRDefault="000268C3" w:rsidP="00B92F6B">
    <w:pPr>
      <w:pStyle w:val="Encabezado"/>
      <w:ind w:right="360"/>
    </w:pPr>
  </w:p>
  <w:p w14:paraId="6298E5CA" w14:textId="77777777" w:rsidR="00FC4FA8" w:rsidRDefault="00FC4FA8"/>
  <w:p w14:paraId="71B5BEAA" w14:textId="77777777" w:rsidR="00FC4FA8" w:rsidRDefault="00FC4FA8"/>
  <w:p w14:paraId="2203FB26" w14:textId="77777777" w:rsidR="00FC4FA8" w:rsidRDefault="00FC4FA8"/>
  <w:p w14:paraId="76640748" w14:textId="77777777" w:rsidR="00FC4FA8" w:rsidRDefault="00FC4FA8"/>
  <w:p w14:paraId="4CD69AE5" w14:textId="77777777" w:rsidR="00FC4FA8" w:rsidRDefault="00FC4FA8"/>
  <w:p w14:paraId="2EBD2856" w14:textId="77777777" w:rsidR="00FC4FA8" w:rsidRDefault="00FC4FA8"/>
  <w:p w14:paraId="7748B208" w14:textId="77777777" w:rsidR="00FC4FA8" w:rsidRDefault="00FC4FA8"/>
  <w:p w14:paraId="019370E7" w14:textId="77777777" w:rsidR="00FC4FA8" w:rsidRDefault="00FC4FA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Cuadrculadetablaclara1"/>
      <w:tblW w:w="4901" w:type="pct"/>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1381"/>
      <w:gridCol w:w="5400"/>
      <w:gridCol w:w="1104"/>
      <w:gridCol w:w="2358"/>
    </w:tblGrid>
    <w:tr w:rsidR="00E74346" w:rsidRPr="00E74346" w14:paraId="4C50F154" w14:textId="77777777" w:rsidTr="00D27475">
      <w:trPr>
        <w:trHeight w:val="146"/>
        <w:jc w:val="center"/>
      </w:trPr>
      <w:tc>
        <w:tcPr>
          <w:tcW w:w="5000" w:type="pct"/>
          <w:gridSpan w:val="4"/>
          <w:vAlign w:val="center"/>
        </w:tcPr>
        <w:p w14:paraId="2EF44AF6" w14:textId="1FCB77FD" w:rsidR="00E74346" w:rsidRPr="00E74346" w:rsidRDefault="00E74346" w:rsidP="00E74346">
          <w:pPr>
            <w:tabs>
              <w:tab w:val="center" w:pos="4419"/>
              <w:tab w:val="right" w:pos="8838"/>
            </w:tabs>
            <w:spacing w:after="0" w:line="240" w:lineRule="auto"/>
            <w:jc w:val="center"/>
            <w:rPr>
              <w:rFonts w:eastAsiaTheme="minorHAnsi" w:cs="Arial"/>
              <w:b/>
              <w:color w:val="3B3838" w:themeColor="background2" w:themeShade="40"/>
              <w:sz w:val="16"/>
              <w:szCs w:val="16"/>
            </w:rPr>
          </w:pPr>
          <w:r>
            <w:rPr>
              <w:rFonts w:eastAsiaTheme="minorHAnsi" w:cs="Arial"/>
              <w:b/>
              <w:color w:val="3B3838" w:themeColor="background2" w:themeShade="40"/>
              <w:sz w:val="16"/>
              <w:szCs w:val="16"/>
            </w:rPr>
            <w:t>ANEXO 1 – ANEXO TÉCNICO</w:t>
          </w:r>
        </w:p>
        <w:p w14:paraId="6CEC9D06" w14:textId="29422C06" w:rsidR="00E74346" w:rsidRPr="00E74346" w:rsidRDefault="00E74346" w:rsidP="00E74346">
          <w:pPr>
            <w:tabs>
              <w:tab w:val="center" w:pos="4419"/>
              <w:tab w:val="right" w:pos="8838"/>
            </w:tabs>
            <w:spacing w:after="0" w:line="240" w:lineRule="auto"/>
            <w:jc w:val="center"/>
            <w:rPr>
              <w:rFonts w:eastAsiaTheme="minorHAnsi" w:cs="Arial"/>
              <w:b/>
              <w:color w:val="3B3838" w:themeColor="background2" w:themeShade="40"/>
              <w:sz w:val="16"/>
              <w:szCs w:val="16"/>
            </w:rPr>
          </w:pPr>
          <w:r w:rsidRPr="00E74346">
            <w:rPr>
              <w:rFonts w:eastAsiaTheme="minorHAnsi" w:cs="Arial"/>
              <w:b/>
              <w:color w:val="3B3838" w:themeColor="background2" w:themeShade="40"/>
              <w:sz w:val="16"/>
              <w:szCs w:val="16"/>
            </w:rPr>
            <w:t xml:space="preserve">LICITACIÓN DE OBRA PÚBLICA DE INFRAESTRUCTURA DE TRANSPORTE (VERSIÓN </w:t>
          </w:r>
          <w:r w:rsidR="00B63BE5">
            <w:rPr>
              <w:rFonts w:eastAsiaTheme="minorHAnsi" w:cs="Arial"/>
              <w:b/>
              <w:color w:val="3B3838" w:themeColor="background2" w:themeShade="40"/>
              <w:sz w:val="16"/>
              <w:szCs w:val="16"/>
            </w:rPr>
            <w:t>4</w:t>
          </w:r>
          <w:r w:rsidRPr="00E74346">
            <w:rPr>
              <w:rFonts w:eastAsiaTheme="minorHAnsi" w:cs="Arial"/>
              <w:b/>
              <w:color w:val="3B3838" w:themeColor="background2" w:themeShade="40"/>
              <w:sz w:val="16"/>
              <w:szCs w:val="16"/>
            </w:rPr>
            <w:t xml:space="preserve">) </w:t>
          </w:r>
        </w:p>
      </w:tc>
    </w:tr>
    <w:tr w:rsidR="00E74346" w:rsidRPr="00E74346" w14:paraId="6BB52DAA" w14:textId="77777777" w:rsidTr="00D27475">
      <w:trPr>
        <w:trHeight w:val="234"/>
        <w:jc w:val="center"/>
      </w:trPr>
      <w:tc>
        <w:tcPr>
          <w:tcW w:w="674" w:type="pct"/>
          <w:vAlign w:val="center"/>
        </w:tcPr>
        <w:p w14:paraId="584710FC" w14:textId="77777777" w:rsidR="00E74346" w:rsidRPr="00E74346" w:rsidRDefault="00E74346" w:rsidP="00E74346">
          <w:pPr>
            <w:spacing w:after="4" w:line="249" w:lineRule="auto"/>
            <w:ind w:left="10" w:hanging="10"/>
            <w:jc w:val="left"/>
            <w:rPr>
              <w:rFonts w:cs="Arial"/>
              <w:b/>
              <w:color w:val="595959"/>
              <w:sz w:val="18"/>
              <w:szCs w:val="18"/>
            </w:rPr>
          </w:pPr>
          <w:r w:rsidRPr="00E74346">
            <w:rPr>
              <w:rFonts w:cs="Arial"/>
              <w:b/>
              <w:color w:val="595959"/>
              <w:sz w:val="18"/>
              <w:szCs w:val="18"/>
            </w:rPr>
            <w:t>Código</w:t>
          </w:r>
        </w:p>
      </w:tc>
      <w:tc>
        <w:tcPr>
          <w:tcW w:w="2636" w:type="pct"/>
          <w:vAlign w:val="center"/>
        </w:tcPr>
        <w:p w14:paraId="39637BD9" w14:textId="1461E978" w:rsidR="00E74346" w:rsidRPr="00E74346" w:rsidRDefault="00E74346" w:rsidP="00E74346">
          <w:pPr>
            <w:spacing w:after="4" w:line="249" w:lineRule="auto"/>
            <w:ind w:left="10" w:hanging="10"/>
            <w:jc w:val="left"/>
            <w:rPr>
              <w:rFonts w:cs="Arial"/>
              <w:color w:val="595959"/>
              <w:sz w:val="16"/>
              <w:szCs w:val="16"/>
            </w:rPr>
          </w:pPr>
          <w:r w:rsidRPr="00E74346">
            <w:rPr>
              <w:rFonts w:eastAsiaTheme="minorHAnsi" w:cs="Arial"/>
              <w:color w:val="3B3838" w:themeColor="background2" w:themeShade="40"/>
              <w:sz w:val="16"/>
              <w:szCs w:val="16"/>
            </w:rPr>
            <w:t>CCE-EICP-</w:t>
          </w:r>
          <w:r>
            <w:rPr>
              <w:rFonts w:eastAsiaTheme="minorHAnsi" w:cs="Arial"/>
              <w:color w:val="3B3838" w:themeColor="background2" w:themeShade="40"/>
              <w:sz w:val="16"/>
              <w:szCs w:val="16"/>
            </w:rPr>
            <w:t>ID</w:t>
          </w:r>
          <w:r w:rsidRPr="00E74346">
            <w:rPr>
              <w:rFonts w:eastAsiaTheme="minorHAnsi" w:cs="Arial"/>
              <w:color w:val="3B3838" w:themeColor="background2" w:themeShade="40"/>
              <w:sz w:val="16"/>
              <w:szCs w:val="16"/>
            </w:rPr>
            <w:t>I-01</w:t>
          </w:r>
        </w:p>
      </w:tc>
      <w:tc>
        <w:tcPr>
          <w:tcW w:w="539" w:type="pct"/>
          <w:vAlign w:val="center"/>
        </w:tcPr>
        <w:p w14:paraId="389307AD" w14:textId="77777777" w:rsidR="00E74346" w:rsidRPr="00E74346" w:rsidRDefault="00E74346" w:rsidP="00E74346">
          <w:pPr>
            <w:spacing w:after="4" w:line="249" w:lineRule="auto"/>
            <w:ind w:left="10" w:hanging="10"/>
            <w:jc w:val="center"/>
            <w:rPr>
              <w:rFonts w:cs="Arial"/>
              <w:b/>
              <w:color w:val="595959"/>
              <w:sz w:val="16"/>
              <w:szCs w:val="16"/>
            </w:rPr>
          </w:pPr>
          <w:r w:rsidRPr="00E74346">
            <w:rPr>
              <w:rFonts w:cs="Arial"/>
              <w:b/>
              <w:color w:val="595959"/>
              <w:sz w:val="16"/>
              <w:szCs w:val="16"/>
            </w:rPr>
            <w:t>Página</w:t>
          </w:r>
        </w:p>
      </w:tc>
      <w:tc>
        <w:tcPr>
          <w:tcW w:w="1150" w:type="pct"/>
          <w:vAlign w:val="center"/>
        </w:tcPr>
        <w:p w14:paraId="7B9A5B80" w14:textId="77777777" w:rsidR="00E74346" w:rsidRPr="00E74346" w:rsidRDefault="00E74346" w:rsidP="00E74346">
          <w:pPr>
            <w:spacing w:after="4" w:line="249" w:lineRule="auto"/>
            <w:ind w:left="10" w:hanging="10"/>
            <w:jc w:val="left"/>
            <w:rPr>
              <w:rFonts w:cs="Arial"/>
              <w:color w:val="595959"/>
              <w:sz w:val="16"/>
              <w:szCs w:val="16"/>
            </w:rPr>
          </w:pPr>
          <w:r w:rsidRPr="00E74346">
            <w:rPr>
              <w:rFonts w:cs="Arial"/>
              <w:color w:val="595959"/>
              <w:sz w:val="16"/>
              <w:szCs w:val="16"/>
            </w:rPr>
            <w:fldChar w:fldCharType="begin"/>
          </w:r>
          <w:r w:rsidRPr="00E74346">
            <w:rPr>
              <w:rFonts w:cs="Arial"/>
              <w:color w:val="595959"/>
              <w:sz w:val="16"/>
              <w:szCs w:val="16"/>
            </w:rPr>
            <w:instrText xml:space="preserve"> PAGE </w:instrText>
          </w:r>
          <w:r w:rsidRPr="00E74346">
            <w:rPr>
              <w:rFonts w:cs="Arial"/>
              <w:color w:val="595959"/>
              <w:sz w:val="16"/>
              <w:szCs w:val="16"/>
            </w:rPr>
            <w:fldChar w:fldCharType="separate"/>
          </w:r>
          <w:r w:rsidRPr="00E74346">
            <w:rPr>
              <w:rFonts w:cs="Arial"/>
              <w:color w:val="595959"/>
              <w:sz w:val="16"/>
              <w:szCs w:val="16"/>
            </w:rPr>
            <w:t>20</w:t>
          </w:r>
          <w:r w:rsidRPr="00E74346">
            <w:rPr>
              <w:rFonts w:cs="Arial"/>
              <w:color w:val="595959"/>
              <w:sz w:val="16"/>
              <w:szCs w:val="16"/>
            </w:rPr>
            <w:fldChar w:fldCharType="end"/>
          </w:r>
          <w:r w:rsidRPr="00E74346">
            <w:rPr>
              <w:rFonts w:cs="Arial"/>
              <w:color w:val="595959"/>
              <w:sz w:val="16"/>
              <w:szCs w:val="16"/>
            </w:rPr>
            <w:t xml:space="preserve"> de </w:t>
          </w:r>
          <w:r w:rsidRPr="00E74346">
            <w:rPr>
              <w:rFonts w:cs="Arial"/>
              <w:color w:val="595959"/>
              <w:sz w:val="16"/>
              <w:szCs w:val="16"/>
            </w:rPr>
            <w:fldChar w:fldCharType="begin"/>
          </w:r>
          <w:r w:rsidRPr="00E74346">
            <w:rPr>
              <w:rFonts w:cs="Arial"/>
              <w:color w:val="595959"/>
              <w:sz w:val="16"/>
              <w:szCs w:val="16"/>
            </w:rPr>
            <w:instrText xml:space="preserve"> NUMPAGES </w:instrText>
          </w:r>
          <w:r w:rsidRPr="00E74346">
            <w:rPr>
              <w:rFonts w:cs="Arial"/>
              <w:color w:val="595959"/>
              <w:sz w:val="16"/>
              <w:szCs w:val="16"/>
            </w:rPr>
            <w:fldChar w:fldCharType="separate"/>
          </w:r>
          <w:r w:rsidRPr="00E74346">
            <w:rPr>
              <w:rFonts w:cs="Arial"/>
              <w:color w:val="595959"/>
              <w:sz w:val="16"/>
              <w:szCs w:val="16"/>
            </w:rPr>
            <w:t>20</w:t>
          </w:r>
          <w:r w:rsidRPr="00E74346">
            <w:rPr>
              <w:rFonts w:cs="Arial"/>
              <w:color w:val="595959"/>
              <w:sz w:val="16"/>
              <w:szCs w:val="16"/>
            </w:rPr>
            <w:fldChar w:fldCharType="end"/>
          </w:r>
        </w:p>
      </w:tc>
    </w:tr>
    <w:tr w:rsidR="00E74346" w:rsidRPr="00E74346" w14:paraId="00C64E7D" w14:textId="77777777" w:rsidTr="00D27475">
      <w:trPr>
        <w:trHeight w:val="73"/>
        <w:jc w:val="center"/>
      </w:trPr>
      <w:tc>
        <w:tcPr>
          <w:tcW w:w="674" w:type="pct"/>
          <w:vAlign w:val="center"/>
        </w:tcPr>
        <w:p w14:paraId="20A5CFD1" w14:textId="77777777" w:rsidR="00E74346" w:rsidRPr="00E74346" w:rsidRDefault="00E74346" w:rsidP="00E74346">
          <w:pPr>
            <w:spacing w:after="4" w:line="249" w:lineRule="auto"/>
            <w:ind w:left="10" w:hanging="10"/>
            <w:jc w:val="left"/>
            <w:rPr>
              <w:rFonts w:cs="Arial"/>
              <w:b/>
              <w:color w:val="595959"/>
              <w:sz w:val="18"/>
              <w:szCs w:val="18"/>
            </w:rPr>
          </w:pPr>
          <w:r w:rsidRPr="00E74346">
            <w:rPr>
              <w:rFonts w:cs="Arial"/>
              <w:b/>
              <w:color w:val="595959"/>
              <w:sz w:val="18"/>
              <w:szCs w:val="18"/>
            </w:rPr>
            <w:t>Versión No.</w:t>
          </w:r>
        </w:p>
      </w:tc>
      <w:tc>
        <w:tcPr>
          <w:tcW w:w="4325" w:type="pct"/>
          <w:gridSpan w:val="3"/>
          <w:vAlign w:val="center"/>
        </w:tcPr>
        <w:p w14:paraId="14223E8C" w14:textId="09FA8027" w:rsidR="00E74346" w:rsidRPr="00E74346" w:rsidRDefault="00B63BE5" w:rsidP="00E74346">
          <w:pPr>
            <w:spacing w:after="4" w:line="249" w:lineRule="auto"/>
            <w:ind w:left="10" w:hanging="10"/>
            <w:jc w:val="left"/>
            <w:rPr>
              <w:rFonts w:cs="Arial"/>
              <w:color w:val="595959"/>
              <w:sz w:val="16"/>
              <w:szCs w:val="16"/>
            </w:rPr>
          </w:pPr>
          <w:r>
            <w:rPr>
              <w:rFonts w:cs="Arial"/>
              <w:color w:val="595959"/>
              <w:sz w:val="16"/>
              <w:szCs w:val="16"/>
            </w:rPr>
            <w:t>4</w:t>
          </w:r>
        </w:p>
      </w:tc>
    </w:tr>
  </w:tbl>
  <w:p w14:paraId="3240CC15" w14:textId="77777777" w:rsidR="00E74346" w:rsidRDefault="00E74346" w:rsidP="00390CF4">
    <w:pPr>
      <w:widowControl w:val="0"/>
      <w:tabs>
        <w:tab w:val="left" w:pos="7780"/>
      </w:tabs>
      <w:autoSpaceDE w:val="0"/>
      <w:autoSpaceDN w:val="0"/>
      <w:adjustRightInd w:val="0"/>
      <w:spacing w:after="0" w:line="200" w:lineRule="exact"/>
      <w:ind w:right="-20"/>
      <w:rPr>
        <w:rFonts w:cs="Arial"/>
        <w:b/>
        <w:color w:val="3B3838"/>
        <w:szCs w:val="20"/>
        <w:highlight w:val="lightGray"/>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25A1C6" w14:textId="398989F7" w:rsidR="00BC7CB9" w:rsidRDefault="00BC7CB9">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C4F3D"/>
    <w:multiLevelType w:val="multilevel"/>
    <w:tmpl w:val="29FC064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5E54C05"/>
    <w:multiLevelType w:val="hybridMultilevel"/>
    <w:tmpl w:val="3BE2D66E"/>
    <w:lvl w:ilvl="0" w:tplc="6728FEDE">
      <w:start w:val="1"/>
      <w:numFmt w:val="lowerLetter"/>
      <w:lvlText w:val="%1."/>
      <w:lvlJc w:val="left"/>
      <w:pPr>
        <w:ind w:left="1069" w:hanging="360"/>
      </w:pPr>
      <w:rPr>
        <w:rFonts w:eastAsia="Arial" w:hint="default"/>
        <w:color w:val="333333"/>
      </w:rPr>
    </w:lvl>
    <w:lvl w:ilvl="1" w:tplc="240A0019" w:tentative="1">
      <w:start w:val="1"/>
      <w:numFmt w:val="lowerLetter"/>
      <w:lvlText w:val="%2."/>
      <w:lvlJc w:val="left"/>
      <w:pPr>
        <w:ind w:left="1789" w:hanging="360"/>
      </w:pPr>
    </w:lvl>
    <w:lvl w:ilvl="2" w:tplc="240A001B" w:tentative="1">
      <w:start w:val="1"/>
      <w:numFmt w:val="lowerRoman"/>
      <w:lvlText w:val="%3."/>
      <w:lvlJc w:val="right"/>
      <w:pPr>
        <w:ind w:left="2509" w:hanging="180"/>
      </w:pPr>
    </w:lvl>
    <w:lvl w:ilvl="3" w:tplc="240A000F" w:tentative="1">
      <w:start w:val="1"/>
      <w:numFmt w:val="decimal"/>
      <w:lvlText w:val="%4."/>
      <w:lvlJc w:val="left"/>
      <w:pPr>
        <w:ind w:left="3229" w:hanging="360"/>
      </w:pPr>
    </w:lvl>
    <w:lvl w:ilvl="4" w:tplc="240A0019" w:tentative="1">
      <w:start w:val="1"/>
      <w:numFmt w:val="lowerLetter"/>
      <w:lvlText w:val="%5."/>
      <w:lvlJc w:val="left"/>
      <w:pPr>
        <w:ind w:left="3949" w:hanging="360"/>
      </w:pPr>
    </w:lvl>
    <w:lvl w:ilvl="5" w:tplc="240A001B" w:tentative="1">
      <w:start w:val="1"/>
      <w:numFmt w:val="lowerRoman"/>
      <w:lvlText w:val="%6."/>
      <w:lvlJc w:val="right"/>
      <w:pPr>
        <w:ind w:left="4669" w:hanging="180"/>
      </w:pPr>
    </w:lvl>
    <w:lvl w:ilvl="6" w:tplc="240A000F" w:tentative="1">
      <w:start w:val="1"/>
      <w:numFmt w:val="decimal"/>
      <w:lvlText w:val="%7."/>
      <w:lvlJc w:val="left"/>
      <w:pPr>
        <w:ind w:left="5389" w:hanging="360"/>
      </w:pPr>
    </w:lvl>
    <w:lvl w:ilvl="7" w:tplc="240A0019" w:tentative="1">
      <w:start w:val="1"/>
      <w:numFmt w:val="lowerLetter"/>
      <w:lvlText w:val="%8."/>
      <w:lvlJc w:val="left"/>
      <w:pPr>
        <w:ind w:left="6109" w:hanging="360"/>
      </w:pPr>
    </w:lvl>
    <w:lvl w:ilvl="8" w:tplc="240A001B" w:tentative="1">
      <w:start w:val="1"/>
      <w:numFmt w:val="lowerRoman"/>
      <w:lvlText w:val="%9."/>
      <w:lvlJc w:val="right"/>
      <w:pPr>
        <w:ind w:left="6829" w:hanging="180"/>
      </w:pPr>
    </w:lvl>
  </w:abstractNum>
  <w:abstractNum w:abstractNumId="2" w15:restartNumberingAfterBreak="0">
    <w:nsid w:val="080C6B13"/>
    <w:multiLevelType w:val="multilevel"/>
    <w:tmpl w:val="61627A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9FD6DC8"/>
    <w:multiLevelType w:val="hybridMultilevel"/>
    <w:tmpl w:val="AFC841B6"/>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 w15:restartNumberingAfterBreak="0">
    <w:nsid w:val="0B6253C9"/>
    <w:multiLevelType w:val="hybridMultilevel"/>
    <w:tmpl w:val="1C2C3BBA"/>
    <w:lvl w:ilvl="0" w:tplc="240A0001">
      <w:start w:val="1"/>
      <w:numFmt w:val="bullet"/>
      <w:lvlText w:val=""/>
      <w:lvlJc w:val="left"/>
      <w:pPr>
        <w:ind w:left="1429" w:hanging="360"/>
      </w:pPr>
      <w:rPr>
        <w:rFonts w:ascii="Symbol" w:hAnsi="Symbol" w:hint="default"/>
      </w:rPr>
    </w:lvl>
    <w:lvl w:ilvl="1" w:tplc="240A0003" w:tentative="1">
      <w:start w:val="1"/>
      <w:numFmt w:val="bullet"/>
      <w:lvlText w:val="o"/>
      <w:lvlJc w:val="left"/>
      <w:pPr>
        <w:ind w:left="2149" w:hanging="360"/>
      </w:pPr>
      <w:rPr>
        <w:rFonts w:ascii="Courier New" w:hAnsi="Courier New" w:cs="Courier New" w:hint="default"/>
      </w:rPr>
    </w:lvl>
    <w:lvl w:ilvl="2" w:tplc="240A0005" w:tentative="1">
      <w:start w:val="1"/>
      <w:numFmt w:val="bullet"/>
      <w:lvlText w:val=""/>
      <w:lvlJc w:val="left"/>
      <w:pPr>
        <w:ind w:left="2869" w:hanging="360"/>
      </w:pPr>
      <w:rPr>
        <w:rFonts w:ascii="Wingdings" w:hAnsi="Wingdings" w:hint="default"/>
      </w:rPr>
    </w:lvl>
    <w:lvl w:ilvl="3" w:tplc="240A0001" w:tentative="1">
      <w:start w:val="1"/>
      <w:numFmt w:val="bullet"/>
      <w:lvlText w:val=""/>
      <w:lvlJc w:val="left"/>
      <w:pPr>
        <w:ind w:left="3589" w:hanging="360"/>
      </w:pPr>
      <w:rPr>
        <w:rFonts w:ascii="Symbol" w:hAnsi="Symbol" w:hint="default"/>
      </w:rPr>
    </w:lvl>
    <w:lvl w:ilvl="4" w:tplc="240A0003" w:tentative="1">
      <w:start w:val="1"/>
      <w:numFmt w:val="bullet"/>
      <w:lvlText w:val="o"/>
      <w:lvlJc w:val="left"/>
      <w:pPr>
        <w:ind w:left="4309" w:hanging="360"/>
      </w:pPr>
      <w:rPr>
        <w:rFonts w:ascii="Courier New" w:hAnsi="Courier New" w:cs="Courier New" w:hint="default"/>
      </w:rPr>
    </w:lvl>
    <w:lvl w:ilvl="5" w:tplc="240A0005" w:tentative="1">
      <w:start w:val="1"/>
      <w:numFmt w:val="bullet"/>
      <w:lvlText w:val=""/>
      <w:lvlJc w:val="left"/>
      <w:pPr>
        <w:ind w:left="5029" w:hanging="360"/>
      </w:pPr>
      <w:rPr>
        <w:rFonts w:ascii="Wingdings" w:hAnsi="Wingdings" w:hint="default"/>
      </w:rPr>
    </w:lvl>
    <w:lvl w:ilvl="6" w:tplc="240A0001" w:tentative="1">
      <w:start w:val="1"/>
      <w:numFmt w:val="bullet"/>
      <w:lvlText w:val=""/>
      <w:lvlJc w:val="left"/>
      <w:pPr>
        <w:ind w:left="5749" w:hanging="360"/>
      </w:pPr>
      <w:rPr>
        <w:rFonts w:ascii="Symbol" w:hAnsi="Symbol" w:hint="default"/>
      </w:rPr>
    </w:lvl>
    <w:lvl w:ilvl="7" w:tplc="240A0003" w:tentative="1">
      <w:start w:val="1"/>
      <w:numFmt w:val="bullet"/>
      <w:lvlText w:val="o"/>
      <w:lvlJc w:val="left"/>
      <w:pPr>
        <w:ind w:left="6469" w:hanging="360"/>
      </w:pPr>
      <w:rPr>
        <w:rFonts w:ascii="Courier New" w:hAnsi="Courier New" w:cs="Courier New" w:hint="default"/>
      </w:rPr>
    </w:lvl>
    <w:lvl w:ilvl="8" w:tplc="240A0005" w:tentative="1">
      <w:start w:val="1"/>
      <w:numFmt w:val="bullet"/>
      <w:lvlText w:val=""/>
      <w:lvlJc w:val="left"/>
      <w:pPr>
        <w:ind w:left="7189" w:hanging="360"/>
      </w:pPr>
      <w:rPr>
        <w:rFonts w:ascii="Wingdings" w:hAnsi="Wingdings" w:hint="default"/>
      </w:rPr>
    </w:lvl>
  </w:abstractNum>
  <w:abstractNum w:abstractNumId="5" w15:restartNumberingAfterBreak="0">
    <w:nsid w:val="0D6C0A17"/>
    <w:multiLevelType w:val="multilevel"/>
    <w:tmpl w:val="7382B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03F68B9"/>
    <w:multiLevelType w:val="hybridMultilevel"/>
    <w:tmpl w:val="487059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2626140"/>
    <w:multiLevelType w:val="multilevel"/>
    <w:tmpl w:val="192E3FF0"/>
    <w:lvl w:ilvl="0">
      <w:start w:val="9"/>
      <w:numFmt w:val="decimal"/>
      <w:lvlText w:val="%1"/>
      <w:lvlJc w:val="left"/>
      <w:pPr>
        <w:ind w:left="1331" w:hanging="360"/>
      </w:pPr>
      <w:rPr>
        <w:rFonts w:hint="default"/>
        <w:lang w:val="es-ES" w:eastAsia="en-US" w:bidi="ar-SA"/>
      </w:rPr>
    </w:lvl>
    <w:lvl w:ilvl="1">
      <w:start w:val="1"/>
      <w:numFmt w:val="decimal"/>
      <w:lvlText w:val="%1.%2"/>
      <w:lvlJc w:val="left"/>
      <w:pPr>
        <w:ind w:left="1331" w:hanging="360"/>
      </w:pPr>
      <w:rPr>
        <w:rFonts w:ascii="Arial" w:eastAsia="Arial" w:hAnsi="Arial" w:cs="Arial" w:hint="default"/>
        <w:b/>
        <w:bCs/>
        <w:w w:val="100"/>
        <w:sz w:val="22"/>
        <w:szCs w:val="22"/>
        <w:lang w:val="es-ES" w:eastAsia="en-US" w:bidi="ar-SA"/>
      </w:rPr>
    </w:lvl>
    <w:lvl w:ilvl="2">
      <w:numFmt w:val="bullet"/>
      <w:lvlText w:val=""/>
      <w:lvlJc w:val="left"/>
      <w:pPr>
        <w:ind w:left="2051" w:hanging="360"/>
      </w:pPr>
      <w:rPr>
        <w:rFonts w:ascii="Symbol" w:eastAsia="Symbol" w:hAnsi="Symbol" w:cs="Symbol" w:hint="default"/>
        <w:w w:val="100"/>
        <w:sz w:val="22"/>
        <w:szCs w:val="22"/>
        <w:lang w:val="es-ES" w:eastAsia="en-US" w:bidi="ar-SA"/>
      </w:rPr>
    </w:lvl>
    <w:lvl w:ilvl="3">
      <w:numFmt w:val="bullet"/>
      <w:lvlText w:val="•"/>
      <w:lvlJc w:val="left"/>
      <w:pPr>
        <w:ind w:left="3926" w:hanging="360"/>
      </w:pPr>
      <w:rPr>
        <w:rFonts w:hint="default"/>
        <w:lang w:val="es-ES" w:eastAsia="en-US" w:bidi="ar-SA"/>
      </w:rPr>
    </w:lvl>
    <w:lvl w:ilvl="4">
      <w:numFmt w:val="bullet"/>
      <w:lvlText w:val="•"/>
      <w:lvlJc w:val="left"/>
      <w:pPr>
        <w:ind w:left="4860" w:hanging="360"/>
      </w:pPr>
      <w:rPr>
        <w:rFonts w:hint="default"/>
        <w:lang w:val="es-ES" w:eastAsia="en-US" w:bidi="ar-SA"/>
      </w:rPr>
    </w:lvl>
    <w:lvl w:ilvl="5">
      <w:numFmt w:val="bullet"/>
      <w:lvlText w:val="•"/>
      <w:lvlJc w:val="left"/>
      <w:pPr>
        <w:ind w:left="5793" w:hanging="360"/>
      </w:pPr>
      <w:rPr>
        <w:rFonts w:hint="default"/>
        <w:lang w:val="es-ES" w:eastAsia="en-US" w:bidi="ar-SA"/>
      </w:rPr>
    </w:lvl>
    <w:lvl w:ilvl="6">
      <w:numFmt w:val="bullet"/>
      <w:lvlText w:val="•"/>
      <w:lvlJc w:val="left"/>
      <w:pPr>
        <w:ind w:left="6726" w:hanging="360"/>
      </w:pPr>
      <w:rPr>
        <w:rFonts w:hint="default"/>
        <w:lang w:val="es-ES" w:eastAsia="en-US" w:bidi="ar-SA"/>
      </w:rPr>
    </w:lvl>
    <w:lvl w:ilvl="7">
      <w:numFmt w:val="bullet"/>
      <w:lvlText w:val="•"/>
      <w:lvlJc w:val="left"/>
      <w:pPr>
        <w:ind w:left="7660" w:hanging="360"/>
      </w:pPr>
      <w:rPr>
        <w:rFonts w:hint="default"/>
        <w:lang w:val="es-ES" w:eastAsia="en-US" w:bidi="ar-SA"/>
      </w:rPr>
    </w:lvl>
    <w:lvl w:ilvl="8">
      <w:numFmt w:val="bullet"/>
      <w:lvlText w:val="•"/>
      <w:lvlJc w:val="left"/>
      <w:pPr>
        <w:ind w:left="8593" w:hanging="360"/>
      </w:pPr>
      <w:rPr>
        <w:rFonts w:hint="default"/>
        <w:lang w:val="es-ES" w:eastAsia="en-US" w:bidi="ar-SA"/>
      </w:rPr>
    </w:lvl>
  </w:abstractNum>
  <w:abstractNum w:abstractNumId="8" w15:restartNumberingAfterBreak="0">
    <w:nsid w:val="1482775B"/>
    <w:multiLevelType w:val="multilevel"/>
    <w:tmpl w:val="0EBA3C40"/>
    <w:lvl w:ilvl="0">
      <w:start w:val="1"/>
      <w:numFmt w:val="decimal"/>
      <w:pStyle w:val="Ttulo1"/>
      <w:lvlText w:val="%1"/>
      <w:lvlJc w:val="left"/>
      <w:pPr>
        <w:ind w:left="1141" w:hanging="432"/>
      </w:pPr>
    </w:lvl>
    <w:lvl w:ilvl="1">
      <w:start w:val="1"/>
      <w:numFmt w:val="decimal"/>
      <w:pStyle w:val="Ttulo2"/>
      <w:lvlText w:val="%1.%2"/>
      <w:lvlJc w:val="left"/>
      <w:pPr>
        <w:ind w:left="1285" w:hanging="576"/>
      </w:pPr>
    </w:lvl>
    <w:lvl w:ilvl="2">
      <w:start w:val="1"/>
      <w:numFmt w:val="decimal"/>
      <w:pStyle w:val="Ttulo3"/>
      <w:lvlText w:val="%1.%2.%3"/>
      <w:lvlJc w:val="left"/>
      <w:pPr>
        <w:ind w:left="1429" w:hanging="720"/>
      </w:pPr>
    </w:lvl>
    <w:lvl w:ilvl="3">
      <w:start w:val="1"/>
      <w:numFmt w:val="decimal"/>
      <w:pStyle w:val="Ttulo4"/>
      <w:lvlText w:val="%1.%2.%3.%4"/>
      <w:lvlJc w:val="left"/>
      <w:pPr>
        <w:ind w:left="1573" w:hanging="864"/>
      </w:pPr>
    </w:lvl>
    <w:lvl w:ilvl="4">
      <w:start w:val="1"/>
      <w:numFmt w:val="decimal"/>
      <w:pStyle w:val="Ttulo5"/>
      <w:lvlText w:val="%1.%2.%3.%4.%5"/>
      <w:lvlJc w:val="left"/>
      <w:pPr>
        <w:ind w:left="1717" w:hanging="1008"/>
      </w:pPr>
    </w:lvl>
    <w:lvl w:ilvl="5">
      <w:start w:val="1"/>
      <w:numFmt w:val="decimal"/>
      <w:pStyle w:val="Ttulo6"/>
      <w:lvlText w:val="%1.%2.%3.%4.%5.%6"/>
      <w:lvlJc w:val="left"/>
      <w:pPr>
        <w:ind w:left="1861" w:hanging="1152"/>
      </w:pPr>
    </w:lvl>
    <w:lvl w:ilvl="6">
      <w:start w:val="1"/>
      <w:numFmt w:val="decimal"/>
      <w:pStyle w:val="Ttulo7"/>
      <w:lvlText w:val="%1.%2.%3.%4.%5.%6.%7"/>
      <w:lvlJc w:val="left"/>
      <w:pPr>
        <w:ind w:left="2005" w:hanging="1296"/>
      </w:pPr>
    </w:lvl>
    <w:lvl w:ilvl="7">
      <w:start w:val="1"/>
      <w:numFmt w:val="decimal"/>
      <w:pStyle w:val="Ttulo8"/>
      <w:lvlText w:val="%1.%2.%3.%4.%5.%6.%7.%8"/>
      <w:lvlJc w:val="left"/>
      <w:pPr>
        <w:ind w:left="2149" w:hanging="1440"/>
      </w:pPr>
    </w:lvl>
    <w:lvl w:ilvl="8">
      <w:start w:val="1"/>
      <w:numFmt w:val="decimal"/>
      <w:pStyle w:val="Ttulo9"/>
      <w:lvlText w:val="%1.%2.%3.%4.%5.%6.%7.%8.%9"/>
      <w:lvlJc w:val="left"/>
      <w:pPr>
        <w:ind w:left="2293" w:hanging="1584"/>
      </w:pPr>
    </w:lvl>
  </w:abstractNum>
  <w:abstractNum w:abstractNumId="9" w15:restartNumberingAfterBreak="0">
    <w:nsid w:val="15A22B3E"/>
    <w:multiLevelType w:val="hybridMultilevel"/>
    <w:tmpl w:val="260AD8D4"/>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5CD1838"/>
    <w:multiLevelType w:val="hybridMultilevel"/>
    <w:tmpl w:val="50AE972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16237D65"/>
    <w:multiLevelType w:val="hybridMultilevel"/>
    <w:tmpl w:val="B764FEEA"/>
    <w:lvl w:ilvl="0" w:tplc="240A0019">
      <w:start w:val="1"/>
      <w:numFmt w:val="lowerLetter"/>
      <w:lvlText w:val="%1."/>
      <w:lvlJc w:val="left"/>
      <w:pPr>
        <w:ind w:left="1069" w:hanging="360"/>
      </w:pPr>
      <w:rPr>
        <w:rFonts w:hint="default"/>
      </w:rPr>
    </w:lvl>
    <w:lvl w:ilvl="1" w:tplc="240A0019" w:tentative="1">
      <w:start w:val="1"/>
      <w:numFmt w:val="lowerLetter"/>
      <w:lvlText w:val="%2."/>
      <w:lvlJc w:val="left"/>
      <w:pPr>
        <w:ind w:left="1789" w:hanging="360"/>
      </w:pPr>
    </w:lvl>
    <w:lvl w:ilvl="2" w:tplc="240A001B" w:tentative="1">
      <w:start w:val="1"/>
      <w:numFmt w:val="lowerRoman"/>
      <w:lvlText w:val="%3."/>
      <w:lvlJc w:val="right"/>
      <w:pPr>
        <w:ind w:left="2509" w:hanging="180"/>
      </w:pPr>
    </w:lvl>
    <w:lvl w:ilvl="3" w:tplc="240A000F" w:tentative="1">
      <w:start w:val="1"/>
      <w:numFmt w:val="decimal"/>
      <w:lvlText w:val="%4."/>
      <w:lvlJc w:val="left"/>
      <w:pPr>
        <w:ind w:left="3229" w:hanging="360"/>
      </w:pPr>
    </w:lvl>
    <w:lvl w:ilvl="4" w:tplc="240A0019" w:tentative="1">
      <w:start w:val="1"/>
      <w:numFmt w:val="lowerLetter"/>
      <w:lvlText w:val="%5."/>
      <w:lvlJc w:val="left"/>
      <w:pPr>
        <w:ind w:left="3949" w:hanging="360"/>
      </w:pPr>
    </w:lvl>
    <w:lvl w:ilvl="5" w:tplc="240A001B" w:tentative="1">
      <w:start w:val="1"/>
      <w:numFmt w:val="lowerRoman"/>
      <w:lvlText w:val="%6."/>
      <w:lvlJc w:val="right"/>
      <w:pPr>
        <w:ind w:left="4669" w:hanging="180"/>
      </w:pPr>
    </w:lvl>
    <w:lvl w:ilvl="6" w:tplc="240A000F" w:tentative="1">
      <w:start w:val="1"/>
      <w:numFmt w:val="decimal"/>
      <w:lvlText w:val="%7."/>
      <w:lvlJc w:val="left"/>
      <w:pPr>
        <w:ind w:left="5389" w:hanging="360"/>
      </w:pPr>
    </w:lvl>
    <w:lvl w:ilvl="7" w:tplc="240A0019" w:tentative="1">
      <w:start w:val="1"/>
      <w:numFmt w:val="lowerLetter"/>
      <w:lvlText w:val="%8."/>
      <w:lvlJc w:val="left"/>
      <w:pPr>
        <w:ind w:left="6109" w:hanging="360"/>
      </w:pPr>
    </w:lvl>
    <w:lvl w:ilvl="8" w:tplc="240A001B" w:tentative="1">
      <w:start w:val="1"/>
      <w:numFmt w:val="lowerRoman"/>
      <w:lvlText w:val="%9."/>
      <w:lvlJc w:val="right"/>
      <w:pPr>
        <w:ind w:left="6829" w:hanging="180"/>
      </w:pPr>
    </w:lvl>
  </w:abstractNum>
  <w:abstractNum w:abstractNumId="12" w15:restartNumberingAfterBreak="0">
    <w:nsid w:val="16946079"/>
    <w:multiLevelType w:val="hybridMultilevel"/>
    <w:tmpl w:val="9B442E4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1800605D"/>
    <w:multiLevelType w:val="hybridMultilevel"/>
    <w:tmpl w:val="CFD0EBD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19342132"/>
    <w:multiLevelType w:val="multilevel"/>
    <w:tmpl w:val="632E7826"/>
    <w:lvl w:ilvl="0">
      <w:start w:val="1"/>
      <w:numFmt w:val="decimal"/>
      <w:lvlText w:val="%1."/>
      <w:lvlJc w:val="left"/>
      <w:pPr>
        <w:ind w:left="360" w:hanging="360"/>
      </w:pPr>
      <w:rPr>
        <w:rFonts w:hint="default"/>
      </w:rPr>
    </w:lvl>
    <w:lvl w:ilvl="1">
      <w:start w:val="1"/>
      <w:numFmt w:val="decimal"/>
      <w:lvlText w:val="%1.%2."/>
      <w:lvlJc w:val="left"/>
      <w:pPr>
        <w:ind w:left="810" w:hanging="360"/>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070" w:hanging="720"/>
      </w:pPr>
      <w:rPr>
        <w:rFonts w:hint="default"/>
      </w:rPr>
    </w:lvl>
    <w:lvl w:ilvl="4">
      <w:start w:val="1"/>
      <w:numFmt w:val="decimal"/>
      <w:lvlText w:val="%1.%2.%3.%4.%5."/>
      <w:lvlJc w:val="left"/>
      <w:pPr>
        <w:ind w:left="2880" w:hanging="1080"/>
      </w:pPr>
      <w:rPr>
        <w:rFonts w:hint="default"/>
      </w:rPr>
    </w:lvl>
    <w:lvl w:ilvl="5">
      <w:start w:val="1"/>
      <w:numFmt w:val="decimal"/>
      <w:lvlText w:val="%1.%2.%3.%4.%5.%6."/>
      <w:lvlJc w:val="left"/>
      <w:pPr>
        <w:ind w:left="3330" w:hanging="1080"/>
      </w:pPr>
      <w:rPr>
        <w:rFonts w:hint="default"/>
      </w:rPr>
    </w:lvl>
    <w:lvl w:ilvl="6">
      <w:start w:val="1"/>
      <w:numFmt w:val="decimal"/>
      <w:lvlText w:val="%1.%2.%3.%4.%5.%6.%7."/>
      <w:lvlJc w:val="left"/>
      <w:pPr>
        <w:ind w:left="4140" w:hanging="1440"/>
      </w:pPr>
      <w:rPr>
        <w:rFonts w:hint="default"/>
      </w:rPr>
    </w:lvl>
    <w:lvl w:ilvl="7">
      <w:start w:val="1"/>
      <w:numFmt w:val="decimal"/>
      <w:lvlText w:val="%1.%2.%3.%4.%5.%6.%7.%8."/>
      <w:lvlJc w:val="left"/>
      <w:pPr>
        <w:ind w:left="4590" w:hanging="1440"/>
      </w:pPr>
      <w:rPr>
        <w:rFonts w:hint="default"/>
      </w:rPr>
    </w:lvl>
    <w:lvl w:ilvl="8">
      <w:start w:val="1"/>
      <w:numFmt w:val="decimal"/>
      <w:lvlText w:val="%1.%2.%3.%4.%5.%6.%7.%8.%9."/>
      <w:lvlJc w:val="left"/>
      <w:pPr>
        <w:ind w:left="5400" w:hanging="1800"/>
      </w:pPr>
      <w:rPr>
        <w:rFonts w:hint="default"/>
      </w:rPr>
    </w:lvl>
  </w:abstractNum>
  <w:abstractNum w:abstractNumId="15" w15:restartNumberingAfterBreak="0">
    <w:nsid w:val="1AF973D0"/>
    <w:multiLevelType w:val="multilevel"/>
    <w:tmpl w:val="7C122E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B204590"/>
    <w:multiLevelType w:val="multilevel"/>
    <w:tmpl w:val="AC665E82"/>
    <w:lvl w:ilvl="0">
      <w:start w:val="1"/>
      <w:numFmt w:val="decimal"/>
      <w:lvlText w:val="%1."/>
      <w:lvlJc w:val="left"/>
      <w:pPr>
        <w:ind w:left="927" w:hanging="360"/>
      </w:pPr>
      <w:rPr>
        <w:rFonts w:eastAsia="Arial" w:hint="default"/>
        <w:color w:val="333333"/>
      </w:rPr>
    </w:lvl>
    <w:lvl w:ilvl="1">
      <w:start w:val="1"/>
      <w:numFmt w:val="decimal"/>
      <w:isLgl/>
      <w:lvlText w:val="%1.%2."/>
      <w:lvlJc w:val="left"/>
      <w:pPr>
        <w:ind w:left="1778" w:hanging="360"/>
      </w:pPr>
      <w:rPr>
        <w:rFonts w:hint="default"/>
        <w:b/>
        <w:color w:val="000000"/>
      </w:rPr>
    </w:lvl>
    <w:lvl w:ilvl="2">
      <w:start w:val="1"/>
      <w:numFmt w:val="upperLetter"/>
      <w:isLgl/>
      <w:lvlText w:val="%1.%2.%3."/>
      <w:lvlJc w:val="left"/>
      <w:pPr>
        <w:ind w:left="1287" w:hanging="720"/>
      </w:pPr>
      <w:rPr>
        <w:rFonts w:hint="default"/>
        <w:b/>
        <w:color w:val="000000"/>
      </w:rPr>
    </w:lvl>
    <w:lvl w:ilvl="3">
      <w:start w:val="1"/>
      <w:numFmt w:val="decimal"/>
      <w:isLgl/>
      <w:lvlText w:val="%1.%2.%3.%4."/>
      <w:lvlJc w:val="left"/>
      <w:pPr>
        <w:ind w:left="1287" w:hanging="720"/>
      </w:pPr>
      <w:rPr>
        <w:rFonts w:hint="default"/>
        <w:b/>
        <w:color w:val="000000"/>
      </w:rPr>
    </w:lvl>
    <w:lvl w:ilvl="4">
      <w:start w:val="1"/>
      <w:numFmt w:val="decimal"/>
      <w:isLgl/>
      <w:lvlText w:val="%1.%2.%3.%4.%5."/>
      <w:lvlJc w:val="left"/>
      <w:pPr>
        <w:ind w:left="1647" w:hanging="1080"/>
      </w:pPr>
      <w:rPr>
        <w:rFonts w:hint="default"/>
        <w:b/>
        <w:color w:val="000000"/>
      </w:rPr>
    </w:lvl>
    <w:lvl w:ilvl="5">
      <w:start w:val="1"/>
      <w:numFmt w:val="decimal"/>
      <w:isLgl/>
      <w:lvlText w:val="%1.%2.%3.%4.%5.%6."/>
      <w:lvlJc w:val="left"/>
      <w:pPr>
        <w:ind w:left="1647" w:hanging="1080"/>
      </w:pPr>
      <w:rPr>
        <w:rFonts w:hint="default"/>
        <w:b/>
        <w:color w:val="000000"/>
      </w:rPr>
    </w:lvl>
    <w:lvl w:ilvl="6">
      <w:start w:val="1"/>
      <w:numFmt w:val="decimal"/>
      <w:isLgl/>
      <w:lvlText w:val="%1.%2.%3.%4.%5.%6.%7."/>
      <w:lvlJc w:val="left"/>
      <w:pPr>
        <w:ind w:left="2007" w:hanging="1440"/>
      </w:pPr>
      <w:rPr>
        <w:rFonts w:hint="default"/>
        <w:b/>
        <w:color w:val="000000"/>
      </w:rPr>
    </w:lvl>
    <w:lvl w:ilvl="7">
      <w:start w:val="1"/>
      <w:numFmt w:val="decimal"/>
      <w:isLgl/>
      <w:lvlText w:val="%1.%2.%3.%4.%5.%6.%7.%8."/>
      <w:lvlJc w:val="left"/>
      <w:pPr>
        <w:ind w:left="2007" w:hanging="1440"/>
      </w:pPr>
      <w:rPr>
        <w:rFonts w:hint="default"/>
        <w:b/>
        <w:color w:val="000000"/>
      </w:rPr>
    </w:lvl>
    <w:lvl w:ilvl="8">
      <w:start w:val="1"/>
      <w:numFmt w:val="decimal"/>
      <w:isLgl/>
      <w:lvlText w:val="%1.%2.%3.%4.%5.%6.%7.%8.%9."/>
      <w:lvlJc w:val="left"/>
      <w:pPr>
        <w:ind w:left="2367" w:hanging="1800"/>
      </w:pPr>
      <w:rPr>
        <w:rFonts w:hint="default"/>
        <w:b/>
        <w:color w:val="000000"/>
      </w:rPr>
    </w:lvl>
  </w:abstractNum>
  <w:abstractNum w:abstractNumId="17" w15:restartNumberingAfterBreak="0">
    <w:nsid w:val="1B7474AA"/>
    <w:multiLevelType w:val="hybridMultilevel"/>
    <w:tmpl w:val="BDA874D4"/>
    <w:lvl w:ilvl="0" w:tplc="240A0001">
      <w:start w:val="1"/>
      <w:numFmt w:val="bullet"/>
      <w:lvlText w:val=""/>
      <w:lvlJc w:val="left"/>
      <w:pPr>
        <w:ind w:left="2280" w:hanging="360"/>
      </w:pPr>
      <w:rPr>
        <w:rFonts w:ascii="Symbol" w:hAnsi="Symbol" w:hint="default"/>
      </w:rPr>
    </w:lvl>
    <w:lvl w:ilvl="1" w:tplc="240A0003" w:tentative="1">
      <w:start w:val="1"/>
      <w:numFmt w:val="bullet"/>
      <w:lvlText w:val="o"/>
      <w:lvlJc w:val="left"/>
      <w:pPr>
        <w:ind w:left="3000" w:hanging="360"/>
      </w:pPr>
      <w:rPr>
        <w:rFonts w:ascii="Courier New" w:hAnsi="Courier New" w:cs="Courier New" w:hint="default"/>
      </w:rPr>
    </w:lvl>
    <w:lvl w:ilvl="2" w:tplc="240A0005" w:tentative="1">
      <w:start w:val="1"/>
      <w:numFmt w:val="bullet"/>
      <w:lvlText w:val=""/>
      <w:lvlJc w:val="left"/>
      <w:pPr>
        <w:ind w:left="3720" w:hanging="360"/>
      </w:pPr>
      <w:rPr>
        <w:rFonts w:ascii="Wingdings" w:hAnsi="Wingdings" w:hint="default"/>
      </w:rPr>
    </w:lvl>
    <w:lvl w:ilvl="3" w:tplc="240A0001" w:tentative="1">
      <w:start w:val="1"/>
      <w:numFmt w:val="bullet"/>
      <w:lvlText w:val=""/>
      <w:lvlJc w:val="left"/>
      <w:pPr>
        <w:ind w:left="4440" w:hanging="360"/>
      </w:pPr>
      <w:rPr>
        <w:rFonts w:ascii="Symbol" w:hAnsi="Symbol" w:hint="default"/>
      </w:rPr>
    </w:lvl>
    <w:lvl w:ilvl="4" w:tplc="240A0003" w:tentative="1">
      <w:start w:val="1"/>
      <w:numFmt w:val="bullet"/>
      <w:lvlText w:val="o"/>
      <w:lvlJc w:val="left"/>
      <w:pPr>
        <w:ind w:left="5160" w:hanging="360"/>
      </w:pPr>
      <w:rPr>
        <w:rFonts w:ascii="Courier New" w:hAnsi="Courier New" w:cs="Courier New" w:hint="default"/>
      </w:rPr>
    </w:lvl>
    <w:lvl w:ilvl="5" w:tplc="240A0005" w:tentative="1">
      <w:start w:val="1"/>
      <w:numFmt w:val="bullet"/>
      <w:lvlText w:val=""/>
      <w:lvlJc w:val="left"/>
      <w:pPr>
        <w:ind w:left="5880" w:hanging="360"/>
      </w:pPr>
      <w:rPr>
        <w:rFonts w:ascii="Wingdings" w:hAnsi="Wingdings" w:hint="default"/>
      </w:rPr>
    </w:lvl>
    <w:lvl w:ilvl="6" w:tplc="240A0001" w:tentative="1">
      <w:start w:val="1"/>
      <w:numFmt w:val="bullet"/>
      <w:lvlText w:val=""/>
      <w:lvlJc w:val="left"/>
      <w:pPr>
        <w:ind w:left="6600" w:hanging="360"/>
      </w:pPr>
      <w:rPr>
        <w:rFonts w:ascii="Symbol" w:hAnsi="Symbol" w:hint="default"/>
      </w:rPr>
    </w:lvl>
    <w:lvl w:ilvl="7" w:tplc="240A0003" w:tentative="1">
      <w:start w:val="1"/>
      <w:numFmt w:val="bullet"/>
      <w:lvlText w:val="o"/>
      <w:lvlJc w:val="left"/>
      <w:pPr>
        <w:ind w:left="7320" w:hanging="360"/>
      </w:pPr>
      <w:rPr>
        <w:rFonts w:ascii="Courier New" w:hAnsi="Courier New" w:cs="Courier New" w:hint="default"/>
      </w:rPr>
    </w:lvl>
    <w:lvl w:ilvl="8" w:tplc="240A0005" w:tentative="1">
      <w:start w:val="1"/>
      <w:numFmt w:val="bullet"/>
      <w:lvlText w:val=""/>
      <w:lvlJc w:val="left"/>
      <w:pPr>
        <w:ind w:left="8040" w:hanging="360"/>
      </w:pPr>
      <w:rPr>
        <w:rFonts w:ascii="Wingdings" w:hAnsi="Wingdings" w:hint="default"/>
      </w:rPr>
    </w:lvl>
  </w:abstractNum>
  <w:abstractNum w:abstractNumId="18" w15:restartNumberingAfterBreak="0">
    <w:nsid w:val="1CCD0ADD"/>
    <w:multiLevelType w:val="hybridMultilevel"/>
    <w:tmpl w:val="C1E4BAFE"/>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1CDF5249"/>
    <w:multiLevelType w:val="hybridMultilevel"/>
    <w:tmpl w:val="7D2EB9AE"/>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1D6260BC"/>
    <w:multiLevelType w:val="hybridMultilevel"/>
    <w:tmpl w:val="EEB8B954"/>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1FFA0469"/>
    <w:multiLevelType w:val="hybridMultilevel"/>
    <w:tmpl w:val="E26E2EF8"/>
    <w:lvl w:ilvl="0" w:tplc="240A000D">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20872613"/>
    <w:multiLevelType w:val="multilevel"/>
    <w:tmpl w:val="A1A0E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0B62CFC"/>
    <w:multiLevelType w:val="hybridMultilevel"/>
    <w:tmpl w:val="DF4036D0"/>
    <w:lvl w:ilvl="0" w:tplc="20EC5550">
      <w:start w:val="1"/>
      <w:numFmt w:val="low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20D2516E"/>
    <w:multiLevelType w:val="multilevel"/>
    <w:tmpl w:val="4F864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42B4A88"/>
    <w:multiLevelType w:val="hybridMultilevel"/>
    <w:tmpl w:val="F66C3A80"/>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280F14D1"/>
    <w:multiLevelType w:val="hybridMultilevel"/>
    <w:tmpl w:val="ACC81E82"/>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29AD1D2E"/>
    <w:multiLevelType w:val="hybridMultilevel"/>
    <w:tmpl w:val="FFFAA834"/>
    <w:lvl w:ilvl="0" w:tplc="50C63ED8">
      <w:start w:val="1"/>
      <w:numFmt w:val="lowerLetter"/>
      <w:lvlText w:val="%1."/>
      <w:lvlJc w:val="left"/>
      <w:pPr>
        <w:ind w:left="2520" w:hanging="360"/>
      </w:pPr>
      <w:rPr>
        <w:rFonts w:asciiTheme="minorHAnsi" w:eastAsia="Calibri" w:hAnsiTheme="minorHAnsi" w:cstheme="minorHAnsi"/>
      </w:rPr>
    </w:lvl>
    <w:lvl w:ilvl="1" w:tplc="240A0003" w:tentative="1">
      <w:start w:val="1"/>
      <w:numFmt w:val="bullet"/>
      <w:lvlText w:val="o"/>
      <w:lvlJc w:val="left"/>
      <w:pPr>
        <w:ind w:left="3240" w:hanging="360"/>
      </w:pPr>
      <w:rPr>
        <w:rFonts w:ascii="Courier New" w:hAnsi="Courier New" w:cs="Courier New" w:hint="default"/>
      </w:rPr>
    </w:lvl>
    <w:lvl w:ilvl="2" w:tplc="240A0005" w:tentative="1">
      <w:start w:val="1"/>
      <w:numFmt w:val="bullet"/>
      <w:lvlText w:val=""/>
      <w:lvlJc w:val="left"/>
      <w:pPr>
        <w:ind w:left="3960" w:hanging="360"/>
      </w:pPr>
      <w:rPr>
        <w:rFonts w:ascii="Wingdings" w:hAnsi="Wingdings" w:hint="default"/>
      </w:rPr>
    </w:lvl>
    <w:lvl w:ilvl="3" w:tplc="240A0001" w:tentative="1">
      <w:start w:val="1"/>
      <w:numFmt w:val="bullet"/>
      <w:lvlText w:val=""/>
      <w:lvlJc w:val="left"/>
      <w:pPr>
        <w:ind w:left="4680" w:hanging="360"/>
      </w:pPr>
      <w:rPr>
        <w:rFonts w:ascii="Symbol" w:hAnsi="Symbol" w:hint="default"/>
      </w:rPr>
    </w:lvl>
    <w:lvl w:ilvl="4" w:tplc="240A0003" w:tentative="1">
      <w:start w:val="1"/>
      <w:numFmt w:val="bullet"/>
      <w:lvlText w:val="o"/>
      <w:lvlJc w:val="left"/>
      <w:pPr>
        <w:ind w:left="5400" w:hanging="360"/>
      </w:pPr>
      <w:rPr>
        <w:rFonts w:ascii="Courier New" w:hAnsi="Courier New" w:cs="Courier New" w:hint="default"/>
      </w:rPr>
    </w:lvl>
    <w:lvl w:ilvl="5" w:tplc="240A0005" w:tentative="1">
      <w:start w:val="1"/>
      <w:numFmt w:val="bullet"/>
      <w:lvlText w:val=""/>
      <w:lvlJc w:val="left"/>
      <w:pPr>
        <w:ind w:left="6120" w:hanging="360"/>
      </w:pPr>
      <w:rPr>
        <w:rFonts w:ascii="Wingdings" w:hAnsi="Wingdings" w:hint="default"/>
      </w:rPr>
    </w:lvl>
    <w:lvl w:ilvl="6" w:tplc="240A0001" w:tentative="1">
      <w:start w:val="1"/>
      <w:numFmt w:val="bullet"/>
      <w:lvlText w:val=""/>
      <w:lvlJc w:val="left"/>
      <w:pPr>
        <w:ind w:left="6840" w:hanging="360"/>
      </w:pPr>
      <w:rPr>
        <w:rFonts w:ascii="Symbol" w:hAnsi="Symbol" w:hint="default"/>
      </w:rPr>
    </w:lvl>
    <w:lvl w:ilvl="7" w:tplc="240A0003" w:tentative="1">
      <w:start w:val="1"/>
      <w:numFmt w:val="bullet"/>
      <w:lvlText w:val="o"/>
      <w:lvlJc w:val="left"/>
      <w:pPr>
        <w:ind w:left="7560" w:hanging="360"/>
      </w:pPr>
      <w:rPr>
        <w:rFonts w:ascii="Courier New" w:hAnsi="Courier New" w:cs="Courier New" w:hint="default"/>
      </w:rPr>
    </w:lvl>
    <w:lvl w:ilvl="8" w:tplc="240A0005" w:tentative="1">
      <w:start w:val="1"/>
      <w:numFmt w:val="bullet"/>
      <w:lvlText w:val=""/>
      <w:lvlJc w:val="left"/>
      <w:pPr>
        <w:ind w:left="8280" w:hanging="360"/>
      </w:pPr>
      <w:rPr>
        <w:rFonts w:ascii="Wingdings" w:hAnsi="Wingdings" w:hint="default"/>
      </w:rPr>
    </w:lvl>
  </w:abstractNum>
  <w:abstractNum w:abstractNumId="28" w15:restartNumberingAfterBreak="0">
    <w:nsid w:val="2C2679F3"/>
    <w:multiLevelType w:val="hybridMultilevel"/>
    <w:tmpl w:val="C2246C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2CD8286F"/>
    <w:multiLevelType w:val="hybridMultilevel"/>
    <w:tmpl w:val="CFB87D76"/>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2D38072A"/>
    <w:multiLevelType w:val="multilevel"/>
    <w:tmpl w:val="1CC414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2EDC5E4E"/>
    <w:multiLevelType w:val="hybridMultilevel"/>
    <w:tmpl w:val="B32A09A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2F1A2FC6"/>
    <w:multiLevelType w:val="multilevel"/>
    <w:tmpl w:val="F210DB1E"/>
    <w:lvl w:ilvl="0">
      <w:start w:val="5"/>
      <w:numFmt w:val="decimal"/>
      <w:lvlText w:val="%1"/>
      <w:lvlJc w:val="left"/>
      <w:pPr>
        <w:ind w:left="360" w:hanging="360"/>
      </w:pPr>
      <w:rPr>
        <w:rFonts w:hint="default"/>
        <w:color w:val="000000"/>
      </w:rPr>
    </w:lvl>
    <w:lvl w:ilvl="1">
      <w:start w:val="1"/>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440" w:hanging="1440"/>
      </w:pPr>
      <w:rPr>
        <w:rFonts w:hint="default"/>
        <w:color w:val="000000"/>
      </w:rPr>
    </w:lvl>
  </w:abstractNum>
  <w:abstractNum w:abstractNumId="33" w15:restartNumberingAfterBreak="0">
    <w:nsid w:val="30FC7AF2"/>
    <w:multiLevelType w:val="hybridMultilevel"/>
    <w:tmpl w:val="B32A09AC"/>
    <w:lvl w:ilvl="0" w:tplc="240A0019">
      <w:start w:val="1"/>
      <w:numFmt w:val="lowerLetter"/>
      <w:lvlText w:val="%1."/>
      <w:lvlJc w:val="left"/>
      <w:pPr>
        <w:ind w:left="1069" w:hanging="360"/>
      </w:pPr>
      <w:rPr>
        <w:rFonts w:hint="default"/>
      </w:rPr>
    </w:lvl>
    <w:lvl w:ilvl="1" w:tplc="240A0019" w:tentative="1">
      <w:start w:val="1"/>
      <w:numFmt w:val="lowerLetter"/>
      <w:lvlText w:val="%2."/>
      <w:lvlJc w:val="left"/>
      <w:pPr>
        <w:ind w:left="1789" w:hanging="360"/>
      </w:pPr>
    </w:lvl>
    <w:lvl w:ilvl="2" w:tplc="240A001B" w:tentative="1">
      <w:start w:val="1"/>
      <w:numFmt w:val="lowerRoman"/>
      <w:lvlText w:val="%3."/>
      <w:lvlJc w:val="right"/>
      <w:pPr>
        <w:ind w:left="2509" w:hanging="180"/>
      </w:pPr>
    </w:lvl>
    <w:lvl w:ilvl="3" w:tplc="240A000F" w:tentative="1">
      <w:start w:val="1"/>
      <w:numFmt w:val="decimal"/>
      <w:lvlText w:val="%4."/>
      <w:lvlJc w:val="left"/>
      <w:pPr>
        <w:ind w:left="3229" w:hanging="360"/>
      </w:pPr>
    </w:lvl>
    <w:lvl w:ilvl="4" w:tplc="240A0019" w:tentative="1">
      <w:start w:val="1"/>
      <w:numFmt w:val="lowerLetter"/>
      <w:lvlText w:val="%5."/>
      <w:lvlJc w:val="left"/>
      <w:pPr>
        <w:ind w:left="3949" w:hanging="360"/>
      </w:pPr>
    </w:lvl>
    <w:lvl w:ilvl="5" w:tplc="240A001B" w:tentative="1">
      <w:start w:val="1"/>
      <w:numFmt w:val="lowerRoman"/>
      <w:lvlText w:val="%6."/>
      <w:lvlJc w:val="right"/>
      <w:pPr>
        <w:ind w:left="4669" w:hanging="180"/>
      </w:pPr>
    </w:lvl>
    <w:lvl w:ilvl="6" w:tplc="240A000F" w:tentative="1">
      <w:start w:val="1"/>
      <w:numFmt w:val="decimal"/>
      <w:lvlText w:val="%7."/>
      <w:lvlJc w:val="left"/>
      <w:pPr>
        <w:ind w:left="5389" w:hanging="360"/>
      </w:pPr>
    </w:lvl>
    <w:lvl w:ilvl="7" w:tplc="240A0019" w:tentative="1">
      <w:start w:val="1"/>
      <w:numFmt w:val="lowerLetter"/>
      <w:lvlText w:val="%8."/>
      <w:lvlJc w:val="left"/>
      <w:pPr>
        <w:ind w:left="6109" w:hanging="360"/>
      </w:pPr>
    </w:lvl>
    <w:lvl w:ilvl="8" w:tplc="240A001B" w:tentative="1">
      <w:start w:val="1"/>
      <w:numFmt w:val="lowerRoman"/>
      <w:lvlText w:val="%9."/>
      <w:lvlJc w:val="right"/>
      <w:pPr>
        <w:ind w:left="6829" w:hanging="180"/>
      </w:pPr>
    </w:lvl>
  </w:abstractNum>
  <w:abstractNum w:abstractNumId="34" w15:restartNumberingAfterBreak="0">
    <w:nsid w:val="340B4F93"/>
    <w:multiLevelType w:val="hybridMultilevel"/>
    <w:tmpl w:val="E02221DE"/>
    <w:lvl w:ilvl="0" w:tplc="240A0009">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35454FC7"/>
    <w:multiLevelType w:val="hybridMultilevel"/>
    <w:tmpl w:val="AE4E8924"/>
    <w:lvl w:ilvl="0" w:tplc="8DE869E0">
      <w:start w:val="1"/>
      <w:numFmt w:val="decimal"/>
      <w:lvlText w:val="%1."/>
      <w:lvlJc w:val="left"/>
      <w:pPr>
        <w:ind w:left="2345" w:hanging="360"/>
      </w:pPr>
      <w:rPr>
        <w:rFonts w:ascii="Calibri" w:eastAsia="Calibri" w:hAnsi="Calibri" w:cs="Calibri" w:hint="default"/>
        <w:color w:val="000000"/>
        <w:sz w:val="22"/>
        <w:szCs w:val="22"/>
      </w:rPr>
    </w:lvl>
    <w:lvl w:ilvl="1" w:tplc="240A0019">
      <w:start w:val="1"/>
      <w:numFmt w:val="lowerLetter"/>
      <w:lvlText w:val="%2."/>
      <w:lvlJc w:val="left"/>
      <w:pPr>
        <w:ind w:left="3065" w:hanging="360"/>
      </w:pPr>
    </w:lvl>
    <w:lvl w:ilvl="2" w:tplc="240A001B" w:tentative="1">
      <w:start w:val="1"/>
      <w:numFmt w:val="lowerRoman"/>
      <w:lvlText w:val="%3."/>
      <w:lvlJc w:val="right"/>
      <w:pPr>
        <w:ind w:left="3785" w:hanging="180"/>
      </w:pPr>
    </w:lvl>
    <w:lvl w:ilvl="3" w:tplc="240A000F" w:tentative="1">
      <w:start w:val="1"/>
      <w:numFmt w:val="decimal"/>
      <w:lvlText w:val="%4."/>
      <w:lvlJc w:val="left"/>
      <w:pPr>
        <w:ind w:left="4505" w:hanging="360"/>
      </w:pPr>
    </w:lvl>
    <w:lvl w:ilvl="4" w:tplc="240A0019" w:tentative="1">
      <w:start w:val="1"/>
      <w:numFmt w:val="lowerLetter"/>
      <w:lvlText w:val="%5."/>
      <w:lvlJc w:val="left"/>
      <w:pPr>
        <w:ind w:left="5225" w:hanging="360"/>
      </w:pPr>
    </w:lvl>
    <w:lvl w:ilvl="5" w:tplc="240A001B" w:tentative="1">
      <w:start w:val="1"/>
      <w:numFmt w:val="lowerRoman"/>
      <w:lvlText w:val="%6."/>
      <w:lvlJc w:val="right"/>
      <w:pPr>
        <w:ind w:left="5945" w:hanging="180"/>
      </w:pPr>
    </w:lvl>
    <w:lvl w:ilvl="6" w:tplc="240A000F" w:tentative="1">
      <w:start w:val="1"/>
      <w:numFmt w:val="decimal"/>
      <w:lvlText w:val="%7."/>
      <w:lvlJc w:val="left"/>
      <w:pPr>
        <w:ind w:left="6665" w:hanging="360"/>
      </w:pPr>
    </w:lvl>
    <w:lvl w:ilvl="7" w:tplc="240A0019" w:tentative="1">
      <w:start w:val="1"/>
      <w:numFmt w:val="lowerLetter"/>
      <w:lvlText w:val="%8."/>
      <w:lvlJc w:val="left"/>
      <w:pPr>
        <w:ind w:left="7385" w:hanging="360"/>
      </w:pPr>
    </w:lvl>
    <w:lvl w:ilvl="8" w:tplc="240A001B" w:tentative="1">
      <w:start w:val="1"/>
      <w:numFmt w:val="lowerRoman"/>
      <w:lvlText w:val="%9."/>
      <w:lvlJc w:val="right"/>
      <w:pPr>
        <w:ind w:left="8105" w:hanging="180"/>
      </w:pPr>
    </w:lvl>
  </w:abstractNum>
  <w:abstractNum w:abstractNumId="36" w15:restartNumberingAfterBreak="0">
    <w:nsid w:val="35815905"/>
    <w:multiLevelType w:val="hybridMultilevel"/>
    <w:tmpl w:val="6C185D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369C3F59"/>
    <w:multiLevelType w:val="hybridMultilevel"/>
    <w:tmpl w:val="A632344E"/>
    <w:lvl w:ilvl="0" w:tplc="240A000F">
      <w:start w:val="1"/>
      <w:numFmt w:val="decimal"/>
      <w:lvlText w:val="%1."/>
      <w:lvlJc w:val="left"/>
      <w:pPr>
        <w:ind w:left="3337"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15:restartNumberingAfterBreak="0">
    <w:nsid w:val="394F5987"/>
    <w:multiLevelType w:val="multilevel"/>
    <w:tmpl w:val="BDFE410A"/>
    <w:lvl w:ilvl="0">
      <w:start w:val="1"/>
      <w:numFmt w:val="lowerRoman"/>
      <w:lvlText w:val="%1."/>
      <w:lvlJc w:val="left"/>
      <w:pPr>
        <w:ind w:left="1800" w:hanging="72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9" w15:restartNumberingAfterBreak="0">
    <w:nsid w:val="3EBA2B61"/>
    <w:multiLevelType w:val="multilevel"/>
    <w:tmpl w:val="CFD495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41BA48E1"/>
    <w:multiLevelType w:val="hybridMultilevel"/>
    <w:tmpl w:val="B32A09A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15:restartNumberingAfterBreak="0">
    <w:nsid w:val="431835CA"/>
    <w:multiLevelType w:val="hybridMultilevel"/>
    <w:tmpl w:val="8190DC6C"/>
    <w:lvl w:ilvl="0" w:tplc="240A0001">
      <w:start w:val="1"/>
      <w:numFmt w:val="bullet"/>
      <w:lvlText w:val=""/>
      <w:lvlJc w:val="left"/>
      <w:pPr>
        <w:ind w:left="1440" w:hanging="360"/>
      </w:pPr>
      <w:rPr>
        <w:rFonts w:ascii="Symbol" w:hAnsi="Symbol" w:hint="default"/>
      </w:rPr>
    </w:lvl>
    <w:lvl w:ilvl="1" w:tplc="240A0003">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15:restartNumberingAfterBreak="0">
    <w:nsid w:val="45CB3377"/>
    <w:multiLevelType w:val="hybridMultilevel"/>
    <w:tmpl w:val="50AE9720"/>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3" w15:restartNumberingAfterBreak="0">
    <w:nsid w:val="460F71C2"/>
    <w:multiLevelType w:val="hybridMultilevel"/>
    <w:tmpl w:val="E4BEDA68"/>
    <w:lvl w:ilvl="0" w:tplc="240A0009">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49883B06"/>
    <w:multiLevelType w:val="hybridMultilevel"/>
    <w:tmpl w:val="4806A34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15:restartNumberingAfterBreak="0">
    <w:nsid w:val="4F5A0402"/>
    <w:multiLevelType w:val="multilevel"/>
    <w:tmpl w:val="007A83F0"/>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6" w15:restartNumberingAfterBreak="0">
    <w:nsid w:val="551C69CC"/>
    <w:multiLevelType w:val="hybridMultilevel"/>
    <w:tmpl w:val="D9F89C9A"/>
    <w:lvl w:ilvl="0" w:tplc="6728FEDE">
      <w:start w:val="1"/>
      <w:numFmt w:val="lowerLetter"/>
      <w:lvlText w:val="%1."/>
      <w:lvlJc w:val="left"/>
      <w:pPr>
        <w:ind w:left="1069" w:hanging="360"/>
      </w:pPr>
      <w:rPr>
        <w:rFonts w:eastAsia="Arial" w:hint="default"/>
        <w:color w:val="333333"/>
      </w:rPr>
    </w:lvl>
    <w:lvl w:ilvl="1" w:tplc="240A0019" w:tentative="1">
      <w:start w:val="1"/>
      <w:numFmt w:val="lowerLetter"/>
      <w:lvlText w:val="%2."/>
      <w:lvlJc w:val="left"/>
      <w:pPr>
        <w:ind w:left="1789" w:hanging="360"/>
      </w:pPr>
    </w:lvl>
    <w:lvl w:ilvl="2" w:tplc="240A001B" w:tentative="1">
      <w:start w:val="1"/>
      <w:numFmt w:val="lowerRoman"/>
      <w:lvlText w:val="%3."/>
      <w:lvlJc w:val="right"/>
      <w:pPr>
        <w:ind w:left="2509" w:hanging="180"/>
      </w:pPr>
    </w:lvl>
    <w:lvl w:ilvl="3" w:tplc="240A000F" w:tentative="1">
      <w:start w:val="1"/>
      <w:numFmt w:val="decimal"/>
      <w:lvlText w:val="%4."/>
      <w:lvlJc w:val="left"/>
      <w:pPr>
        <w:ind w:left="3229" w:hanging="360"/>
      </w:pPr>
    </w:lvl>
    <w:lvl w:ilvl="4" w:tplc="240A0019" w:tentative="1">
      <w:start w:val="1"/>
      <w:numFmt w:val="lowerLetter"/>
      <w:lvlText w:val="%5."/>
      <w:lvlJc w:val="left"/>
      <w:pPr>
        <w:ind w:left="3949" w:hanging="360"/>
      </w:pPr>
    </w:lvl>
    <w:lvl w:ilvl="5" w:tplc="240A001B" w:tentative="1">
      <w:start w:val="1"/>
      <w:numFmt w:val="lowerRoman"/>
      <w:lvlText w:val="%6."/>
      <w:lvlJc w:val="right"/>
      <w:pPr>
        <w:ind w:left="4669" w:hanging="180"/>
      </w:pPr>
    </w:lvl>
    <w:lvl w:ilvl="6" w:tplc="240A000F" w:tentative="1">
      <w:start w:val="1"/>
      <w:numFmt w:val="decimal"/>
      <w:lvlText w:val="%7."/>
      <w:lvlJc w:val="left"/>
      <w:pPr>
        <w:ind w:left="5389" w:hanging="360"/>
      </w:pPr>
    </w:lvl>
    <w:lvl w:ilvl="7" w:tplc="240A0019" w:tentative="1">
      <w:start w:val="1"/>
      <w:numFmt w:val="lowerLetter"/>
      <w:lvlText w:val="%8."/>
      <w:lvlJc w:val="left"/>
      <w:pPr>
        <w:ind w:left="6109" w:hanging="360"/>
      </w:pPr>
    </w:lvl>
    <w:lvl w:ilvl="8" w:tplc="240A001B" w:tentative="1">
      <w:start w:val="1"/>
      <w:numFmt w:val="lowerRoman"/>
      <w:lvlText w:val="%9."/>
      <w:lvlJc w:val="right"/>
      <w:pPr>
        <w:ind w:left="6829" w:hanging="180"/>
      </w:pPr>
    </w:lvl>
  </w:abstractNum>
  <w:abstractNum w:abstractNumId="47" w15:restartNumberingAfterBreak="0">
    <w:nsid w:val="5D706DB2"/>
    <w:multiLevelType w:val="multilevel"/>
    <w:tmpl w:val="B95A4378"/>
    <w:lvl w:ilvl="0">
      <w:start w:val="1"/>
      <w:numFmt w:val="decimal"/>
      <w:lvlText w:val="%1"/>
      <w:lvlJc w:val="left"/>
      <w:pPr>
        <w:ind w:left="432" w:hanging="432"/>
      </w:pPr>
      <w:rPr>
        <w:rFonts w:cs="Times New Roman" w:hint="default"/>
        <w:color w:val="auto"/>
      </w:rPr>
    </w:lvl>
    <w:lvl w:ilvl="1">
      <w:start w:val="1"/>
      <w:numFmt w:val="decimal"/>
      <w:pStyle w:val="Estilo1"/>
      <w:lvlText w:val="2.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48" w15:restartNumberingAfterBreak="0">
    <w:nsid w:val="5EAD6104"/>
    <w:multiLevelType w:val="multilevel"/>
    <w:tmpl w:val="5A3663F4"/>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9" w15:restartNumberingAfterBreak="0">
    <w:nsid w:val="5F7F6441"/>
    <w:multiLevelType w:val="hybridMultilevel"/>
    <w:tmpl w:val="77E28BB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0" w15:restartNumberingAfterBreak="0">
    <w:nsid w:val="60415D10"/>
    <w:multiLevelType w:val="hybridMultilevel"/>
    <w:tmpl w:val="E2823FA4"/>
    <w:lvl w:ilvl="0" w:tplc="078E1814">
      <w:start w:val="1"/>
      <w:numFmt w:val="decimal"/>
      <w:lvlText w:val="%1."/>
      <w:lvlJc w:val="left"/>
      <w:pPr>
        <w:ind w:left="720" w:hanging="360"/>
      </w:pPr>
    </w:lvl>
    <w:lvl w:ilvl="1" w:tplc="FFB43B2C">
      <w:start w:val="1"/>
      <w:numFmt w:val="decimal"/>
      <w:lvlText w:val="%2."/>
      <w:lvlJc w:val="left"/>
      <w:pPr>
        <w:ind w:left="720" w:hanging="360"/>
      </w:pPr>
    </w:lvl>
    <w:lvl w:ilvl="2" w:tplc="7E1094F6">
      <w:start w:val="1"/>
      <w:numFmt w:val="decimal"/>
      <w:lvlText w:val="%3."/>
      <w:lvlJc w:val="left"/>
      <w:pPr>
        <w:ind w:left="720" w:hanging="360"/>
      </w:pPr>
    </w:lvl>
    <w:lvl w:ilvl="3" w:tplc="3FE83C20">
      <w:start w:val="1"/>
      <w:numFmt w:val="decimal"/>
      <w:lvlText w:val="%4."/>
      <w:lvlJc w:val="left"/>
      <w:pPr>
        <w:ind w:left="720" w:hanging="360"/>
      </w:pPr>
    </w:lvl>
    <w:lvl w:ilvl="4" w:tplc="241E0DFC">
      <w:start w:val="1"/>
      <w:numFmt w:val="decimal"/>
      <w:lvlText w:val="%5."/>
      <w:lvlJc w:val="left"/>
      <w:pPr>
        <w:ind w:left="720" w:hanging="360"/>
      </w:pPr>
    </w:lvl>
    <w:lvl w:ilvl="5" w:tplc="D95E8724">
      <w:start w:val="1"/>
      <w:numFmt w:val="decimal"/>
      <w:lvlText w:val="%6."/>
      <w:lvlJc w:val="left"/>
      <w:pPr>
        <w:ind w:left="720" w:hanging="360"/>
      </w:pPr>
    </w:lvl>
    <w:lvl w:ilvl="6" w:tplc="CF72D518">
      <w:start w:val="1"/>
      <w:numFmt w:val="decimal"/>
      <w:lvlText w:val="%7."/>
      <w:lvlJc w:val="left"/>
      <w:pPr>
        <w:ind w:left="720" w:hanging="360"/>
      </w:pPr>
    </w:lvl>
    <w:lvl w:ilvl="7" w:tplc="794E302E">
      <w:start w:val="1"/>
      <w:numFmt w:val="decimal"/>
      <w:lvlText w:val="%8."/>
      <w:lvlJc w:val="left"/>
      <w:pPr>
        <w:ind w:left="720" w:hanging="360"/>
      </w:pPr>
    </w:lvl>
    <w:lvl w:ilvl="8" w:tplc="C3EEF75C">
      <w:start w:val="1"/>
      <w:numFmt w:val="decimal"/>
      <w:lvlText w:val="%9."/>
      <w:lvlJc w:val="left"/>
      <w:pPr>
        <w:ind w:left="720" w:hanging="360"/>
      </w:pPr>
    </w:lvl>
  </w:abstractNum>
  <w:abstractNum w:abstractNumId="51" w15:restartNumberingAfterBreak="0">
    <w:nsid w:val="605039D9"/>
    <w:multiLevelType w:val="multilevel"/>
    <w:tmpl w:val="CE96E55C"/>
    <w:lvl w:ilvl="0">
      <w:start w:val="1"/>
      <w:numFmt w:val="lowerRoman"/>
      <w:lvlText w:val="%1."/>
      <w:lvlJc w:val="left"/>
      <w:pPr>
        <w:ind w:left="1800" w:hanging="72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2" w15:restartNumberingAfterBreak="0">
    <w:nsid w:val="60EE49F0"/>
    <w:multiLevelType w:val="multilevel"/>
    <w:tmpl w:val="8260382C"/>
    <w:lvl w:ilvl="0">
      <w:start w:val="1"/>
      <w:numFmt w:val="lowerRoman"/>
      <w:lvlText w:val="%1."/>
      <w:lvlJc w:val="left"/>
      <w:pPr>
        <w:ind w:left="2520" w:hanging="720"/>
      </w:pPr>
      <w:rPr>
        <w:color w:val="333333"/>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53" w15:restartNumberingAfterBreak="0">
    <w:nsid w:val="64FB32ED"/>
    <w:multiLevelType w:val="hybridMultilevel"/>
    <w:tmpl w:val="E58A61F8"/>
    <w:lvl w:ilvl="0" w:tplc="240A000F">
      <w:start w:val="1"/>
      <w:numFmt w:val="decimal"/>
      <w:lvlText w:val="%1."/>
      <w:lvlJc w:val="left"/>
      <w:pPr>
        <w:ind w:left="2345" w:hanging="360"/>
      </w:pPr>
      <w:rPr>
        <w:rFonts w:hint="default"/>
      </w:rPr>
    </w:lvl>
    <w:lvl w:ilvl="1" w:tplc="240A0019" w:tentative="1">
      <w:start w:val="1"/>
      <w:numFmt w:val="lowerLetter"/>
      <w:lvlText w:val="%2."/>
      <w:lvlJc w:val="left"/>
      <w:pPr>
        <w:ind w:left="3065" w:hanging="360"/>
      </w:pPr>
    </w:lvl>
    <w:lvl w:ilvl="2" w:tplc="240A001B" w:tentative="1">
      <w:start w:val="1"/>
      <w:numFmt w:val="lowerRoman"/>
      <w:lvlText w:val="%3."/>
      <w:lvlJc w:val="right"/>
      <w:pPr>
        <w:ind w:left="3785" w:hanging="180"/>
      </w:pPr>
    </w:lvl>
    <w:lvl w:ilvl="3" w:tplc="240A000F" w:tentative="1">
      <w:start w:val="1"/>
      <w:numFmt w:val="decimal"/>
      <w:lvlText w:val="%4."/>
      <w:lvlJc w:val="left"/>
      <w:pPr>
        <w:ind w:left="4505" w:hanging="360"/>
      </w:pPr>
    </w:lvl>
    <w:lvl w:ilvl="4" w:tplc="240A0019" w:tentative="1">
      <w:start w:val="1"/>
      <w:numFmt w:val="lowerLetter"/>
      <w:lvlText w:val="%5."/>
      <w:lvlJc w:val="left"/>
      <w:pPr>
        <w:ind w:left="5225" w:hanging="360"/>
      </w:pPr>
    </w:lvl>
    <w:lvl w:ilvl="5" w:tplc="240A001B" w:tentative="1">
      <w:start w:val="1"/>
      <w:numFmt w:val="lowerRoman"/>
      <w:lvlText w:val="%6."/>
      <w:lvlJc w:val="right"/>
      <w:pPr>
        <w:ind w:left="5945" w:hanging="180"/>
      </w:pPr>
    </w:lvl>
    <w:lvl w:ilvl="6" w:tplc="240A000F" w:tentative="1">
      <w:start w:val="1"/>
      <w:numFmt w:val="decimal"/>
      <w:lvlText w:val="%7."/>
      <w:lvlJc w:val="left"/>
      <w:pPr>
        <w:ind w:left="6665" w:hanging="360"/>
      </w:pPr>
    </w:lvl>
    <w:lvl w:ilvl="7" w:tplc="240A0019" w:tentative="1">
      <w:start w:val="1"/>
      <w:numFmt w:val="lowerLetter"/>
      <w:lvlText w:val="%8."/>
      <w:lvlJc w:val="left"/>
      <w:pPr>
        <w:ind w:left="7385" w:hanging="360"/>
      </w:pPr>
    </w:lvl>
    <w:lvl w:ilvl="8" w:tplc="240A001B" w:tentative="1">
      <w:start w:val="1"/>
      <w:numFmt w:val="lowerRoman"/>
      <w:lvlText w:val="%9."/>
      <w:lvlJc w:val="right"/>
      <w:pPr>
        <w:ind w:left="8105" w:hanging="180"/>
      </w:pPr>
    </w:lvl>
  </w:abstractNum>
  <w:abstractNum w:abstractNumId="54" w15:restartNumberingAfterBreak="0">
    <w:nsid w:val="65857D84"/>
    <w:multiLevelType w:val="hybridMultilevel"/>
    <w:tmpl w:val="EF9CF660"/>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5" w15:restartNumberingAfterBreak="0">
    <w:nsid w:val="717865F6"/>
    <w:multiLevelType w:val="hybridMultilevel"/>
    <w:tmpl w:val="A69A0B9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6" w15:restartNumberingAfterBreak="0">
    <w:nsid w:val="71923A4B"/>
    <w:multiLevelType w:val="hybridMultilevel"/>
    <w:tmpl w:val="F8CC5FB0"/>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7" w15:restartNumberingAfterBreak="0">
    <w:nsid w:val="78BA4892"/>
    <w:multiLevelType w:val="hybridMultilevel"/>
    <w:tmpl w:val="35F217DE"/>
    <w:lvl w:ilvl="0" w:tplc="240A000F">
      <w:start w:val="1"/>
      <w:numFmt w:val="decimal"/>
      <w:lvlText w:val="%1."/>
      <w:lvlJc w:val="left"/>
      <w:pPr>
        <w:ind w:left="720" w:hanging="360"/>
      </w:pPr>
      <w:rPr>
        <w:rFonts w:hint="default"/>
      </w:rPr>
    </w:lvl>
    <w:lvl w:ilvl="1" w:tplc="11789D38">
      <w:numFmt w:val="bullet"/>
      <w:lvlText w:val="•"/>
      <w:lvlJc w:val="left"/>
      <w:pPr>
        <w:ind w:left="1440" w:hanging="360"/>
      </w:pPr>
      <w:rPr>
        <w:rFonts w:ascii="Arial" w:eastAsia="Calibri" w:hAnsi="Arial" w:cs="Arial" w:hint="default"/>
      </w:r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8" w15:restartNumberingAfterBreak="0">
    <w:nsid w:val="794B1478"/>
    <w:multiLevelType w:val="multilevel"/>
    <w:tmpl w:val="E990F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7B9F458B"/>
    <w:multiLevelType w:val="multilevel"/>
    <w:tmpl w:val="3A367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7CFB712C"/>
    <w:multiLevelType w:val="hybridMultilevel"/>
    <w:tmpl w:val="DC182982"/>
    <w:lvl w:ilvl="0" w:tplc="240A0009">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1" w15:restartNumberingAfterBreak="0">
    <w:nsid w:val="7D42225F"/>
    <w:multiLevelType w:val="hybridMultilevel"/>
    <w:tmpl w:val="616C013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2" w15:restartNumberingAfterBreak="0">
    <w:nsid w:val="7FA075DE"/>
    <w:multiLevelType w:val="hybridMultilevel"/>
    <w:tmpl w:val="3FE00A50"/>
    <w:lvl w:ilvl="0" w:tplc="240A0005">
      <w:start w:val="1"/>
      <w:numFmt w:val="bullet"/>
      <w:lvlText w:val=""/>
      <w:lvlJc w:val="left"/>
      <w:pPr>
        <w:ind w:left="768" w:hanging="360"/>
      </w:pPr>
      <w:rPr>
        <w:rFonts w:ascii="Wingdings" w:hAnsi="Wingdings" w:hint="default"/>
      </w:rPr>
    </w:lvl>
    <w:lvl w:ilvl="1" w:tplc="240A0003" w:tentative="1">
      <w:start w:val="1"/>
      <w:numFmt w:val="bullet"/>
      <w:lvlText w:val="o"/>
      <w:lvlJc w:val="left"/>
      <w:pPr>
        <w:ind w:left="1488" w:hanging="360"/>
      </w:pPr>
      <w:rPr>
        <w:rFonts w:ascii="Courier New" w:hAnsi="Courier New" w:cs="Courier New" w:hint="default"/>
      </w:rPr>
    </w:lvl>
    <w:lvl w:ilvl="2" w:tplc="240A0005" w:tentative="1">
      <w:start w:val="1"/>
      <w:numFmt w:val="bullet"/>
      <w:lvlText w:val=""/>
      <w:lvlJc w:val="left"/>
      <w:pPr>
        <w:ind w:left="2208" w:hanging="360"/>
      </w:pPr>
      <w:rPr>
        <w:rFonts w:ascii="Wingdings" w:hAnsi="Wingdings" w:hint="default"/>
      </w:rPr>
    </w:lvl>
    <w:lvl w:ilvl="3" w:tplc="240A0001" w:tentative="1">
      <w:start w:val="1"/>
      <w:numFmt w:val="bullet"/>
      <w:lvlText w:val=""/>
      <w:lvlJc w:val="left"/>
      <w:pPr>
        <w:ind w:left="2928" w:hanging="360"/>
      </w:pPr>
      <w:rPr>
        <w:rFonts w:ascii="Symbol" w:hAnsi="Symbol" w:hint="default"/>
      </w:rPr>
    </w:lvl>
    <w:lvl w:ilvl="4" w:tplc="240A0003" w:tentative="1">
      <w:start w:val="1"/>
      <w:numFmt w:val="bullet"/>
      <w:lvlText w:val="o"/>
      <w:lvlJc w:val="left"/>
      <w:pPr>
        <w:ind w:left="3648" w:hanging="360"/>
      </w:pPr>
      <w:rPr>
        <w:rFonts w:ascii="Courier New" w:hAnsi="Courier New" w:cs="Courier New" w:hint="default"/>
      </w:rPr>
    </w:lvl>
    <w:lvl w:ilvl="5" w:tplc="240A0005" w:tentative="1">
      <w:start w:val="1"/>
      <w:numFmt w:val="bullet"/>
      <w:lvlText w:val=""/>
      <w:lvlJc w:val="left"/>
      <w:pPr>
        <w:ind w:left="4368" w:hanging="360"/>
      </w:pPr>
      <w:rPr>
        <w:rFonts w:ascii="Wingdings" w:hAnsi="Wingdings" w:hint="default"/>
      </w:rPr>
    </w:lvl>
    <w:lvl w:ilvl="6" w:tplc="240A0001" w:tentative="1">
      <w:start w:val="1"/>
      <w:numFmt w:val="bullet"/>
      <w:lvlText w:val=""/>
      <w:lvlJc w:val="left"/>
      <w:pPr>
        <w:ind w:left="5088" w:hanging="360"/>
      </w:pPr>
      <w:rPr>
        <w:rFonts w:ascii="Symbol" w:hAnsi="Symbol" w:hint="default"/>
      </w:rPr>
    </w:lvl>
    <w:lvl w:ilvl="7" w:tplc="240A0003" w:tentative="1">
      <w:start w:val="1"/>
      <w:numFmt w:val="bullet"/>
      <w:lvlText w:val="o"/>
      <w:lvlJc w:val="left"/>
      <w:pPr>
        <w:ind w:left="5808" w:hanging="360"/>
      </w:pPr>
      <w:rPr>
        <w:rFonts w:ascii="Courier New" w:hAnsi="Courier New" w:cs="Courier New" w:hint="default"/>
      </w:rPr>
    </w:lvl>
    <w:lvl w:ilvl="8" w:tplc="240A0005" w:tentative="1">
      <w:start w:val="1"/>
      <w:numFmt w:val="bullet"/>
      <w:lvlText w:val=""/>
      <w:lvlJc w:val="left"/>
      <w:pPr>
        <w:ind w:left="6528" w:hanging="360"/>
      </w:pPr>
      <w:rPr>
        <w:rFonts w:ascii="Wingdings" w:hAnsi="Wingdings" w:hint="default"/>
      </w:rPr>
    </w:lvl>
  </w:abstractNum>
  <w:num w:numId="1" w16cid:durableId="155806498">
    <w:abstractNumId w:val="47"/>
  </w:num>
  <w:num w:numId="2" w16cid:durableId="326322283">
    <w:abstractNumId w:val="8"/>
  </w:num>
  <w:num w:numId="3" w16cid:durableId="2101828925">
    <w:abstractNumId w:val="57"/>
  </w:num>
  <w:num w:numId="4" w16cid:durableId="304241715">
    <w:abstractNumId w:val="33"/>
  </w:num>
  <w:num w:numId="5" w16cid:durableId="989674584">
    <w:abstractNumId w:val="11"/>
  </w:num>
  <w:num w:numId="6" w16cid:durableId="1721050719">
    <w:abstractNumId w:val="40"/>
  </w:num>
  <w:num w:numId="7" w16cid:durableId="1047027071">
    <w:abstractNumId w:val="23"/>
  </w:num>
  <w:num w:numId="8" w16cid:durableId="679549758">
    <w:abstractNumId w:val="31"/>
  </w:num>
  <w:num w:numId="9" w16cid:durableId="1484275314">
    <w:abstractNumId w:val="3"/>
  </w:num>
  <w:num w:numId="10" w16cid:durableId="722099502">
    <w:abstractNumId w:val="7"/>
  </w:num>
  <w:num w:numId="11" w16cid:durableId="754131010">
    <w:abstractNumId w:val="36"/>
  </w:num>
  <w:num w:numId="12" w16cid:durableId="1576473292">
    <w:abstractNumId w:val="44"/>
  </w:num>
  <w:num w:numId="13" w16cid:durableId="1321735558">
    <w:abstractNumId w:val="54"/>
  </w:num>
  <w:num w:numId="14" w16cid:durableId="1602569594">
    <w:abstractNumId w:val="20"/>
  </w:num>
  <w:num w:numId="15" w16cid:durableId="1494711960">
    <w:abstractNumId w:val="56"/>
  </w:num>
  <w:num w:numId="16" w16cid:durableId="230044308">
    <w:abstractNumId w:val="9"/>
  </w:num>
  <w:num w:numId="17" w16cid:durableId="552157415">
    <w:abstractNumId w:val="26"/>
  </w:num>
  <w:num w:numId="18" w16cid:durableId="545142783">
    <w:abstractNumId w:val="49"/>
  </w:num>
  <w:num w:numId="19" w16cid:durableId="1870948772">
    <w:abstractNumId w:val="12"/>
  </w:num>
  <w:num w:numId="20" w16cid:durableId="1423450118">
    <w:abstractNumId w:val="28"/>
  </w:num>
  <w:num w:numId="21" w16cid:durableId="402223432">
    <w:abstractNumId w:val="25"/>
  </w:num>
  <w:num w:numId="22" w16cid:durableId="2055345347">
    <w:abstractNumId w:val="61"/>
  </w:num>
  <w:num w:numId="23" w16cid:durableId="358970580">
    <w:abstractNumId w:val="19"/>
  </w:num>
  <w:num w:numId="24" w16cid:durableId="1903054335">
    <w:abstractNumId w:val="62"/>
  </w:num>
  <w:num w:numId="25" w16cid:durableId="1081177306">
    <w:abstractNumId w:val="18"/>
  </w:num>
  <w:num w:numId="26" w16cid:durableId="1143039580">
    <w:abstractNumId w:val="29"/>
  </w:num>
  <w:num w:numId="27" w16cid:durableId="1681734637">
    <w:abstractNumId w:val="34"/>
  </w:num>
  <w:num w:numId="28" w16cid:durableId="1733232826">
    <w:abstractNumId w:val="60"/>
  </w:num>
  <w:num w:numId="29" w16cid:durableId="1223297359">
    <w:abstractNumId w:val="43"/>
  </w:num>
  <w:num w:numId="30" w16cid:durableId="698942712">
    <w:abstractNumId w:val="41"/>
  </w:num>
  <w:num w:numId="31" w16cid:durableId="974984960">
    <w:abstractNumId w:val="21"/>
  </w:num>
  <w:num w:numId="32" w16cid:durableId="265041143">
    <w:abstractNumId w:val="37"/>
  </w:num>
  <w:num w:numId="33" w16cid:durableId="1117067343">
    <w:abstractNumId w:val="48"/>
  </w:num>
  <w:num w:numId="34" w16cid:durableId="294258452">
    <w:abstractNumId w:val="53"/>
  </w:num>
  <w:num w:numId="35" w16cid:durableId="1083718115">
    <w:abstractNumId w:val="45"/>
  </w:num>
  <w:num w:numId="36" w16cid:durableId="2006542556">
    <w:abstractNumId w:val="52"/>
  </w:num>
  <w:num w:numId="37" w16cid:durableId="1509639836">
    <w:abstractNumId w:val="38"/>
  </w:num>
  <w:num w:numId="38" w16cid:durableId="1120731482">
    <w:abstractNumId w:val="51"/>
  </w:num>
  <w:num w:numId="39" w16cid:durableId="870915266">
    <w:abstractNumId w:val="14"/>
  </w:num>
  <w:num w:numId="40" w16cid:durableId="2050833645">
    <w:abstractNumId w:val="32"/>
  </w:num>
  <w:num w:numId="41" w16cid:durableId="1846165383">
    <w:abstractNumId w:val="5"/>
  </w:num>
  <w:num w:numId="42" w16cid:durableId="1910965948">
    <w:abstractNumId w:val="24"/>
  </w:num>
  <w:num w:numId="43" w16cid:durableId="541597815">
    <w:abstractNumId w:val="58"/>
  </w:num>
  <w:num w:numId="44" w16cid:durableId="1380669259">
    <w:abstractNumId w:val="15"/>
  </w:num>
  <w:num w:numId="45" w16cid:durableId="1124691977">
    <w:abstractNumId w:val="39"/>
  </w:num>
  <w:num w:numId="46" w16cid:durableId="836651847">
    <w:abstractNumId w:val="22"/>
  </w:num>
  <w:num w:numId="47" w16cid:durableId="1338118169">
    <w:abstractNumId w:val="30"/>
  </w:num>
  <w:num w:numId="48" w16cid:durableId="1913200471">
    <w:abstractNumId w:val="59"/>
  </w:num>
  <w:num w:numId="49" w16cid:durableId="1461923699">
    <w:abstractNumId w:val="17"/>
  </w:num>
  <w:num w:numId="50" w16cid:durableId="77749559">
    <w:abstractNumId w:val="42"/>
  </w:num>
  <w:num w:numId="51" w16cid:durableId="479926422">
    <w:abstractNumId w:val="35"/>
  </w:num>
  <w:num w:numId="52" w16cid:durableId="1617060227">
    <w:abstractNumId w:val="1"/>
  </w:num>
  <w:num w:numId="53" w16cid:durableId="2025787570">
    <w:abstractNumId w:val="46"/>
  </w:num>
  <w:num w:numId="54" w16cid:durableId="1164082627">
    <w:abstractNumId w:val="27"/>
  </w:num>
  <w:num w:numId="55" w16cid:durableId="1518276017">
    <w:abstractNumId w:val="4"/>
  </w:num>
  <w:num w:numId="56" w16cid:durableId="1301039897">
    <w:abstractNumId w:val="16"/>
  </w:num>
  <w:num w:numId="57" w16cid:durableId="513888036">
    <w:abstractNumId w:val="55"/>
  </w:num>
  <w:num w:numId="58" w16cid:durableId="412746177">
    <w:abstractNumId w:val="13"/>
  </w:num>
  <w:num w:numId="59" w16cid:durableId="886064085">
    <w:abstractNumId w:val="6"/>
  </w:num>
  <w:num w:numId="60" w16cid:durableId="675886083">
    <w:abstractNumId w:val="0"/>
  </w:num>
  <w:num w:numId="61" w16cid:durableId="140197338">
    <w:abstractNumId w:val="2"/>
  </w:num>
  <w:num w:numId="62" w16cid:durableId="656540243">
    <w:abstractNumId w:val="50"/>
  </w:num>
  <w:num w:numId="63" w16cid:durableId="1136295480">
    <w:abstractNumId w:val="10"/>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511F"/>
    <w:rsid w:val="00002F70"/>
    <w:rsid w:val="0000513D"/>
    <w:rsid w:val="0000553B"/>
    <w:rsid w:val="00007578"/>
    <w:rsid w:val="00007D16"/>
    <w:rsid w:val="00013A3D"/>
    <w:rsid w:val="000149A4"/>
    <w:rsid w:val="00017F6A"/>
    <w:rsid w:val="00022774"/>
    <w:rsid w:val="00023E7B"/>
    <w:rsid w:val="000268C3"/>
    <w:rsid w:val="00026FFD"/>
    <w:rsid w:val="00031892"/>
    <w:rsid w:val="0003201E"/>
    <w:rsid w:val="0003306E"/>
    <w:rsid w:val="000330D0"/>
    <w:rsid w:val="00033982"/>
    <w:rsid w:val="00034CC6"/>
    <w:rsid w:val="0003600B"/>
    <w:rsid w:val="00037F97"/>
    <w:rsid w:val="00041ECB"/>
    <w:rsid w:val="00042A89"/>
    <w:rsid w:val="00042E48"/>
    <w:rsid w:val="00042F7D"/>
    <w:rsid w:val="00043A73"/>
    <w:rsid w:val="00043DB9"/>
    <w:rsid w:val="000441F6"/>
    <w:rsid w:val="000453DD"/>
    <w:rsid w:val="000468F6"/>
    <w:rsid w:val="00046BA6"/>
    <w:rsid w:val="00047F70"/>
    <w:rsid w:val="00051F93"/>
    <w:rsid w:val="0005604F"/>
    <w:rsid w:val="00057780"/>
    <w:rsid w:val="00060876"/>
    <w:rsid w:val="00064CCF"/>
    <w:rsid w:val="000658BE"/>
    <w:rsid w:val="00066BE4"/>
    <w:rsid w:val="000709B6"/>
    <w:rsid w:val="00071544"/>
    <w:rsid w:val="00073D9D"/>
    <w:rsid w:val="00074062"/>
    <w:rsid w:val="000740BC"/>
    <w:rsid w:val="0007590D"/>
    <w:rsid w:val="00077A99"/>
    <w:rsid w:val="00080AD7"/>
    <w:rsid w:val="000822BC"/>
    <w:rsid w:val="00083689"/>
    <w:rsid w:val="00083A7E"/>
    <w:rsid w:val="00085341"/>
    <w:rsid w:val="00086A16"/>
    <w:rsid w:val="00086D63"/>
    <w:rsid w:val="00090341"/>
    <w:rsid w:val="000917B2"/>
    <w:rsid w:val="00092AEF"/>
    <w:rsid w:val="00093F9B"/>
    <w:rsid w:val="000A0270"/>
    <w:rsid w:val="000A3139"/>
    <w:rsid w:val="000A5DEC"/>
    <w:rsid w:val="000A7FAB"/>
    <w:rsid w:val="000B128B"/>
    <w:rsid w:val="000B3FA0"/>
    <w:rsid w:val="000B762E"/>
    <w:rsid w:val="000C0E0F"/>
    <w:rsid w:val="000C2D0E"/>
    <w:rsid w:val="000C6036"/>
    <w:rsid w:val="000C6BA2"/>
    <w:rsid w:val="000C73FE"/>
    <w:rsid w:val="000C76EC"/>
    <w:rsid w:val="000C7818"/>
    <w:rsid w:val="000D1D75"/>
    <w:rsid w:val="000D2EA5"/>
    <w:rsid w:val="000D38BC"/>
    <w:rsid w:val="000D4014"/>
    <w:rsid w:val="000D5BCF"/>
    <w:rsid w:val="000E40B5"/>
    <w:rsid w:val="000E4AF9"/>
    <w:rsid w:val="000E5D9E"/>
    <w:rsid w:val="000E75EC"/>
    <w:rsid w:val="000F1339"/>
    <w:rsid w:val="000F1BAC"/>
    <w:rsid w:val="000F34CA"/>
    <w:rsid w:val="000F37B7"/>
    <w:rsid w:val="000F4161"/>
    <w:rsid w:val="00100289"/>
    <w:rsid w:val="00101690"/>
    <w:rsid w:val="00101CAC"/>
    <w:rsid w:val="00102344"/>
    <w:rsid w:val="00102402"/>
    <w:rsid w:val="001073A9"/>
    <w:rsid w:val="00110D57"/>
    <w:rsid w:val="00111382"/>
    <w:rsid w:val="00111E24"/>
    <w:rsid w:val="00112AF3"/>
    <w:rsid w:val="001132A5"/>
    <w:rsid w:val="001142B1"/>
    <w:rsid w:val="00120BC9"/>
    <w:rsid w:val="0012219B"/>
    <w:rsid w:val="00122332"/>
    <w:rsid w:val="00123708"/>
    <w:rsid w:val="00126D8C"/>
    <w:rsid w:val="00127C88"/>
    <w:rsid w:val="001301A9"/>
    <w:rsid w:val="0013216A"/>
    <w:rsid w:val="0013227C"/>
    <w:rsid w:val="00132B94"/>
    <w:rsid w:val="00133335"/>
    <w:rsid w:val="00133B9F"/>
    <w:rsid w:val="001352A7"/>
    <w:rsid w:val="001402D2"/>
    <w:rsid w:val="0014303E"/>
    <w:rsid w:val="00143547"/>
    <w:rsid w:val="00144288"/>
    <w:rsid w:val="001463F0"/>
    <w:rsid w:val="00151A1F"/>
    <w:rsid w:val="00152976"/>
    <w:rsid w:val="00153568"/>
    <w:rsid w:val="00154D81"/>
    <w:rsid w:val="00156572"/>
    <w:rsid w:val="00157015"/>
    <w:rsid w:val="00157077"/>
    <w:rsid w:val="00162076"/>
    <w:rsid w:val="00172C62"/>
    <w:rsid w:val="001772E3"/>
    <w:rsid w:val="001807AB"/>
    <w:rsid w:val="00183599"/>
    <w:rsid w:val="00183753"/>
    <w:rsid w:val="00185431"/>
    <w:rsid w:val="00185710"/>
    <w:rsid w:val="00185880"/>
    <w:rsid w:val="00185E4A"/>
    <w:rsid w:val="0019217E"/>
    <w:rsid w:val="0019340D"/>
    <w:rsid w:val="00194494"/>
    <w:rsid w:val="00194EF5"/>
    <w:rsid w:val="0019632B"/>
    <w:rsid w:val="00196832"/>
    <w:rsid w:val="0019751E"/>
    <w:rsid w:val="001A0227"/>
    <w:rsid w:val="001A05EC"/>
    <w:rsid w:val="001A1E06"/>
    <w:rsid w:val="001A3DE1"/>
    <w:rsid w:val="001A4A33"/>
    <w:rsid w:val="001A7CF6"/>
    <w:rsid w:val="001B0057"/>
    <w:rsid w:val="001B25D8"/>
    <w:rsid w:val="001B359E"/>
    <w:rsid w:val="001B4274"/>
    <w:rsid w:val="001B57D0"/>
    <w:rsid w:val="001B710E"/>
    <w:rsid w:val="001C0B4C"/>
    <w:rsid w:val="001C45C2"/>
    <w:rsid w:val="001D1AE6"/>
    <w:rsid w:val="001D3E4B"/>
    <w:rsid w:val="001E1AE4"/>
    <w:rsid w:val="001E1EC9"/>
    <w:rsid w:val="001E258D"/>
    <w:rsid w:val="001E4489"/>
    <w:rsid w:val="001E4B51"/>
    <w:rsid w:val="001E7F3E"/>
    <w:rsid w:val="001F0C8D"/>
    <w:rsid w:val="001F2F02"/>
    <w:rsid w:val="001F4562"/>
    <w:rsid w:val="001F4D9A"/>
    <w:rsid w:val="001F5214"/>
    <w:rsid w:val="001F5909"/>
    <w:rsid w:val="00202411"/>
    <w:rsid w:val="0020244C"/>
    <w:rsid w:val="002037AD"/>
    <w:rsid w:val="0020475D"/>
    <w:rsid w:val="00207356"/>
    <w:rsid w:val="002076A6"/>
    <w:rsid w:val="002138D8"/>
    <w:rsid w:val="00215423"/>
    <w:rsid w:val="0021555C"/>
    <w:rsid w:val="00216335"/>
    <w:rsid w:val="002174E2"/>
    <w:rsid w:val="002206AE"/>
    <w:rsid w:val="002207EB"/>
    <w:rsid w:val="002222D4"/>
    <w:rsid w:val="002233BF"/>
    <w:rsid w:val="0022640E"/>
    <w:rsid w:val="00227032"/>
    <w:rsid w:val="00230264"/>
    <w:rsid w:val="0023199C"/>
    <w:rsid w:val="00232D96"/>
    <w:rsid w:val="00232EDE"/>
    <w:rsid w:val="0023419D"/>
    <w:rsid w:val="00235F5D"/>
    <w:rsid w:val="002368D5"/>
    <w:rsid w:val="00242104"/>
    <w:rsid w:val="00243905"/>
    <w:rsid w:val="00243DB2"/>
    <w:rsid w:val="00245C30"/>
    <w:rsid w:val="00246646"/>
    <w:rsid w:val="00247FB1"/>
    <w:rsid w:val="002537B4"/>
    <w:rsid w:val="00253C86"/>
    <w:rsid w:val="002540D7"/>
    <w:rsid w:val="002541D7"/>
    <w:rsid w:val="002547CA"/>
    <w:rsid w:val="002554D6"/>
    <w:rsid w:val="002555A6"/>
    <w:rsid w:val="00260974"/>
    <w:rsid w:val="0026211C"/>
    <w:rsid w:val="00262773"/>
    <w:rsid w:val="002648A6"/>
    <w:rsid w:val="0026559D"/>
    <w:rsid w:val="00265903"/>
    <w:rsid w:val="00266912"/>
    <w:rsid w:val="0027037B"/>
    <w:rsid w:val="00274F61"/>
    <w:rsid w:val="00275141"/>
    <w:rsid w:val="0027632D"/>
    <w:rsid w:val="0027789B"/>
    <w:rsid w:val="002840F8"/>
    <w:rsid w:val="00293428"/>
    <w:rsid w:val="0029383D"/>
    <w:rsid w:val="002948CC"/>
    <w:rsid w:val="00295207"/>
    <w:rsid w:val="00296252"/>
    <w:rsid w:val="002968B6"/>
    <w:rsid w:val="00297141"/>
    <w:rsid w:val="00297AE4"/>
    <w:rsid w:val="002A01A7"/>
    <w:rsid w:val="002A0295"/>
    <w:rsid w:val="002A2919"/>
    <w:rsid w:val="002A51D8"/>
    <w:rsid w:val="002A7DCC"/>
    <w:rsid w:val="002B0DE2"/>
    <w:rsid w:val="002B1AA3"/>
    <w:rsid w:val="002B23EC"/>
    <w:rsid w:val="002B24CC"/>
    <w:rsid w:val="002B2E6D"/>
    <w:rsid w:val="002B3DD7"/>
    <w:rsid w:val="002B421F"/>
    <w:rsid w:val="002B5B84"/>
    <w:rsid w:val="002B5CA1"/>
    <w:rsid w:val="002B6468"/>
    <w:rsid w:val="002B742D"/>
    <w:rsid w:val="002C0F6F"/>
    <w:rsid w:val="002C1128"/>
    <w:rsid w:val="002C335E"/>
    <w:rsid w:val="002C42D0"/>
    <w:rsid w:val="002C511F"/>
    <w:rsid w:val="002C5606"/>
    <w:rsid w:val="002C636D"/>
    <w:rsid w:val="002C7522"/>
    <w:rsid w:val="002D1306"/>
    <w:rsid w:val="002D312D"/>
    <w:rsid w:val="002D380F"/>
    <w:rsid w:val="002E202F"/>
    <w:rsid w:val="002E2782"/>
    <w:rsid w:val="002E4613"/>
    <w:rsid w:val="002E5D75"/>
    <w:rsid w:val="002F1511"/>
    <w:rsid w:val="002F1F66"/>
    <w:rsid w:val="002F32CA"/>
    <w:rsid w:val="002F61F2"/>
    <w:rsid w:val="002F65D8"/>
    <w:rsid w:val="002F74AE"/>
    <w:rsid w:val="00301AB5"/>
    <w:rsid w:val="0030721C"/>
    <w:rsid w:val="0031045F"/>
    <w:rsid w:val="00311A43"/>
    <w:rsid w:val="00312064"/>
    <w:rsid w:val="0031292C"/>
    <w:rsid w:val="00312BD1"/>
    <w:rsid w:val="00312D9E"/>
    <w:rsid w:val="00313363"/>
    <w:rsid w:val="00313392"/>
    <w:rsid w:val="003155E3"/>
    <w:rsid w:val="00315C4D"/>
    <w:rsid w:val="00316201"/>
    <w:rsid w:val="00323D77"/>
    <w:rsid w:val="0033024E"/>
    <w:rsid w:val="00331DD9"/>
    <w:rsid w:val="00334263"/>
    <w:rsid w:val="00336BBF"/>
    <w:rsid w:val="003370A9"/>
    <w:rsid w:val="00341FE8"/>
    <w:rsid w:val="00342498"/>
    <w:rsid w:val="00342706"/>
    <w:rsid w:val="00343BE6"/>
    <w:rsid w:val="00346E94"/>
    <w:rsid w:val="003514B6"/>
    <w:rsid w:val="00351DDA"/>
    <w:rsid w:val="00352C7B"/>
    <w:rsid w:val="003531A2"/>
    <w:rsid w:val="003542E1"/>
    <w:rsid w:val="00357E1B"/>
    <w:rsid w:val="0036079C"/>
    <w:rsid w:val="00360B89"/>
    <w:rsid w:val="003611CB"/>
    <w:rsid w:val="00362ECF"/>
    <w:rsid w:val="00363BEF"/>
    <w:rsid w:val="00365596"/>
    <w:rsid w:val="00366402"/>
    <w:rsid w:val="003711BB"/>
    <w:rsid w:val="00372EB1"/>
    <w:rsid w:val="003742BC"/>
    <w:rsid w:val="00374FFC"/>
    <w:rsid w:val="00375023"/>
    <w:rsid w:val="003761DE"/>
    <w:rsid w:val="00380A04"/>
    <w:rsid w:val="0038115E"/>
    <w:rsid w:val="00381BDB"/>
    <w:rsid w:val="0038263B"/>
    <w:rsid w:val="0038286E"/>
    <w:rsid w:val="0038301E"/>
    <w:rsid w:val="00384CDA"/>
    <w:rsid w:val="00386705"/>
    <w:rsid w:val="003869C4"/>
    <w:rsid w:val="00387F6E"/>
    <w:rsid w:val="00390B4E"/>
    <w:rsid w:val="00390CF4"/>
    <w:rsid w:val="00391AE9"/>
    <w:rsid w:val="00391D76"/>
    <w:rsid w:val="0039407E"/>
    <w:rsid w:val="00395B0E"/>
    <w:rsid w:val="003972AE"/>
    <w:rsid w:val="00397388"/>
    <w:rsid w:val="003A0FEF"/>
    <w:rsid w:val="003A19BF"/>
    <w:rsid w:val="003A3C63"/>
    <w:rsid w:val="003A414E"/>
    <w:rsid w:val="003A5C9F"/>
    <w:rsid w:val="003B11B5"/>
    <w:rsid w:val="003B1B8C"/>
    <w:rsid w:val="003B7106"/>
    <w:rsid w:val="003B7245"/>
    <w:rsid w:val="003C02B9"/>
    <w:rsid w:val="003C2A44"/>
    <w:rsid w:val="003C3526"/>
    <w:rsid w:val="003C4134"/>
    <w:rsid w:val="003D1962"/>
    <w:rsid w:val="003D2755"/>
    <w:rsid w:val="003D4430"/>
    <w:rsid w:val="003D6723"/>
    <w:rsid w:val="003D74B9"/>
    <w:rsid w:val="003D7663"/>
    <w:rsid w:val="003D797D"/>
    <w:rsid w:val="003E2ECF"/>
    <w:rsid w:val="003E413C"/>
    <w:rsid w:val="003E6FBB"/>
    <w:rsid w:val="003E7A32"/>
    <w:rsid w:val="003F0110"/>
    <w:rsid w:val="003F0A86"/>
    <w:rsid w:val="003F293C"/>
    <w:rsid w:val="003F3264"/>
    <w:rsid w:val="003F417C"/>
    <w:rsid w:val="003F5F4E"/>
    <w:rsid w:val="003F6B42"/>
    <w:rsid w:val="003F7505"/>
    <w:rsid w:val="003F7C34"/>
    <w:rsid w:val="0040045E"/>
    <w:rsid w:val="00400A14"/>
    <w:rsid w:val="00401BC1"/>
    <w:rsid w:val="00401C9B"/>
    <w:rsid w:val="00402139"/>
    <w:rsid w:val="004057E6"/>
    <w:rsid w:val="004067D4"/>
    <w:rsid w:val="00407511"/>
    <w:rsid w:val="0041041E"/>
    <w:rsid w:val="0041175B"/>
    <w:rsid w:val="004128C7"/>
    <w:rsid w:val="0041470E"/>
    <w:rsid w:val="00415B04"/>
    <w:rsid w:val="00416362"/>
    <w:rsid w:val="00416465"/>
    <w:rsid w:val="00417FA5"/>
    <w:rsid w:val="00420B9C"/>
    <w:rsid w:val="00423866"/>
    <w:rsid w:val="0042598F"/>
    <w:rsid w:val="0042750F"/>
    <w:rsid w:val="00427F43"/>
    <w:rsid w:val="0043158D"/>
    <w:rsid w:val="004331B6"/>
    <w:rsid w:val="00433E32"/>
    <w:rsid w:val="00434225"/>
    <w:rsid w:val="00437390"/>
    <w:rsid w:val="004416EA"/>
    <w:rsid w:val="00442CB8"/>
    <w:rsid w:val="00443D42"/>
    <w:rsid w:val="00446428"/>
    <w:rsid w:val="00446BEF"/>
    <w:rsid w:val="0044744C"/>
    <w:rsid w:val="00450FF6"/>
    <w:rsid w:val="00454243"/>
    <w:rsid w:val="00455604"/>
    <w:rsid w:val="004557D9"/>
    <w:rsid w:val="00456164"/>
    <w:rsid w:val="004567D0"/>
    <w:rsid w:val="004567F6"/>
    <w:rsid w:val="004570A4"/>
    <w:rsid w:val="00457A02"/>
    <w:rsid w:val="004611A9"/>
    <w:rsid w:val="004627CD"/>
    <w:rsid w:val="00463CFC"/>
    <w:rsid w:val="00463E01"/>
    <w:rsid w:val="00464DDE"/>
    <w:rsid w:val="0046572A"/>
    <w:rsid w:val="004659C3"/>
    <w:rsid w:val="00466CCA"/>
    <w:rsid w:val="00466FEE"/>
    <w:rsid w:val="00467749"/>
    <w:rsid w:val="00470237"/>
    <w:rsid w:val="004712D4"/>
    <w:rsid w:val="0047316E"/>
    <w:rsid w:val="00473225"/>
    <w:rsid w:val="00473F11"/>
    <w:rsid w:val="00474E2E"/>
    <w:rsid w:val="004766FE"/>
    <w:rsid w:val="00476C86"/>
    <w:rsid w:val="00484238"/>
    <w:rsid w:val="00484F84"/>
    <w:rsid w:val="00485046"/>
    <w:rsid w:val="004855C5"/>
    <w:rsid w:val="00485D7E"/>
    <w:rsid w:val="004924EB"/>
    <w:rsid w:val="00493FB3"/>
    <w:rsid w:val="00494A3F"/>
    <w:rsid w:val="00494B3A"/>
    <w:rsid w:val="0049505E"/>
    <w:rsid w:val="00495CCD"/>
    <w:rsid w:val="00496998"/>
    <w:rsid w:val="004A0891"/>
    <w:rsid w:val="004A1A5E"/>
    <w:rsid w:val="004A1B79"/>
    <w:rsid w:val="004A1CEE"/>
    <w:rsid w:val="004A4766"/>
    <w:rsid w:val="004A56F3"/>
    <w:rsid w:val="004A61F8"/>
    <w:rsid w:val="004A6FDE"/>
    <w:rsid w:val="004A7CA3"/>
    <w:rsid w:val="004A7CE3"/>
    <w:rsid w:val="004B18DF"/>
    <w:rsid w:val="004B5A0B"/>
    <w:rsid w:val="004B7877"/>
    <w:rsid w:val="004C3390"/>
    <w:rsid w:val="004C4DE9"/>
    <w:rsid w:val="004C5636"/>
    <w:rsid w:val="004C599E"/>
    <w:rsid w:val="004C5AAC"/>
    <w:rsid w:val="004C5C84"/>
    <w:rsid w:val="004C6322"/>
    <w:rsid w:val="004C6A33"/>
    <w:rsid w:val="004D00DB"/>
    <w:rsid w:val="004D2443"/>
    <w:rsid w:val="004D3DBA"/>
    <w:rsid w:val="004D4517"/>
    <w:rsid w:val="004D5334"/>
    <w:rsid w:val="004D5A81"/>
    <w:rsid w:val="004D7A46"/>
    <w:rsid w:val="004E0A90"/>
    <w:rsid w:val="004E1E45"/>
    <w:rsid w:val="004E208C"/>
    <w:rsid w:val="004E2DE3"/>
    <w:rsid w:val="004E4088"/>
    <w:rsid w:val="004E4A1D"/>
    <w:rsid w:val="004E7474"/>
    <w:rsid w:val="004E7554"/>
    <w:rsid w:val="004F0740"/>
    <w:rsid w:val="004F1A8C"/>
    <w:rsid w:val="004F21B9"/>
    <w:rsid w:val="004F2BDC"/>
    <w:rsid w:val="004F5FA6"/>
    <w:rsid w:val="004F78C8"/>
    <w:rsid w:val="004F7D01"/>
    <w:rsid w:val="00500A74"/>
    <w:rsid w:val="005016D7"/>
    <w:rsid w:val="005027CD"/>
    <w:rsid w:val="00507F7A"/>
    <w:rsid w:val="005109ED"/>
    <w:rsid w:val="005114EA"/>
    <w:rsid w:val="005124DC"/>
    <w:rsid w:val="00514ABD"/>
    <w:rsid w:val="005156DE"/>
    <w:rsid w:val="005169E8"/>
    <w:rsid w:val="00517609"/>
    <w:rsid w:val="00517A56"/>
    <w:rsid w:val="00517C2B"/>
    <w:rsid w:val="0052367E"/>
    <w:rsid w:val="00533E2D"/>
    <w:rsid w:val="005342C5"/>
    <w:rsid w:val="005355E1"/>
    <w:rsid w:val="0053693D"/>
    <w:rsid w:val="0054090E"/>
    <w:rsid w:val="00543E18"/>
    <w:rsid w:val="0054458A"/>
    <w:rsid w:val="00547C45"/>
    <w:rsid w:val="005511BC"/>
    <w:rsid w:val="00552BB0"/>
    <w:rsid w:val="00552DBB"/>
    <w:rsid w:val="005538E1"/>
    <w:rsid w:val="005539D1"/>
    <w:rsid w:val="0055439F"/>
    <w:rsid w:val="00554857"/>
    <w:rsid w:val="005558EF"/>
    <w:rsid w:val="00561604"/>
    <w:rsid w:val="005622B2"/>
    <w:rsid w:val="0056250C"/>
    <w:rsid w:val="00563F26"/>
    <w:rsid w:val="00564750"/>
    <w:rsid w:val="00567756"/>
    <w:rsid w:val="00567E0F"/>
    <w:rsid w:val="0057015E"/>
    <w:rsid w:val="00573D3D"/>
    <w:rsid w:val="00576E15"/>
    <w:rsid w:val="005817EA"/>
    <w:rsid w:val="00582880"/>
    <w:rsid w:val="005853E6"/>
    <w:rsid w:val="00585F24"/>
    <w:rsid w:val="00587D5A"/>
    <w:rsid w:val="0059033E"/>
    <w:rsid w:val="0059152A"/>
    <w:rsid w:val="00593860"/>
    <w:rsid w:val="00593975"/>
    <w:rsid w:val="00595FF6"/>
    <w:rsid w:val="005A0107"/>
    <w:rsid w:val="005A0634"/>
    <w:rsid w:val="005A144C"/>
    <w:rsid w:val="005A20C8"/>
    <w:rsid w:val="005A3E7A"/>
    <w:rsid w:val="005A70B4"/>
    <w:rsid w:val="005B1D19"/>
    <w:rsid w:val="005B7DDE"/>
    <w:rsid w:val="005C0D7E"/>
    <w:rsid w:val="005C1A88"/>
    <w:rsid w:val="005C412E"/>
    <w:rsid w:val="005C6CEE"/>
    <w:rsid w:val="005C70F5"/>
    <w:rsid w:val="005D08F4"/>
    <w:rsid w:val="005E020D"/>
    <w:rsid w:val="005E168F"/>
    <w:rsid w:val="005E2539"/>
    <w:rsid w:val="005E3EFC"/>
    <w:rsid w:val="005E491E"/>
    <w:rsid w:val="005E5810"/>
    <w:rsid w:val="005F070E"/>
    <w:rsid w:val="005F2611"/>
    <w:rsid w:val="005F6F0A"/>
    <w:rsid w:val="005F7043"/>
    <w:rsid w:val="0060058E"/>
    <w:rsid w:val="006019DA"/>
    <w:rsid w:val="00601F03"/>
    <w:rsid w:val="00601F56"/>
    <w:rsid w:val="0060313D"/>
    <w:rsid w:val="00604409"/>
    <w:rsid w:val="0060478C"/>
    <w:rsid w:val="00606AD9"/>
    <w:rsid w:val="0061452B"/>
    <w:rsid w:val="00622C7B"/>
    <w:rsid w:val="00623383"/>
    <w:rsid w:val="0062400A"/>
    <w:rsid w:val="006252AF"/>
    <w:rsid w:val="00626CDB"/>
    <w:rsid w:val="0063060E"/>
    <w:rsid w:val="00635E19"/>
    <w:rsid w:val="00635FC5"/>
    <w:rsid w:val="00640DC7"/>
    <w:rsid w:val="00640E0A"/>
    <w:rsid w:val="00640F2A"/>
    <w:rsid w:val="006416D8"/>
    <w:rsid w:val="006419A2"/>
    <w:rsid w:val="00641DA1"/>
    <w:rsid w:val="006457BD"/>
    <w:rsid w:val="00647341"/>
    <w:rsid w:val="00647774"/>
    <w:rsid w:val="00651260"/>
    <w:rsid w:val="006520A9"/>
    <w:rsid w:val="00653F8E"/>
    <w:rsid w:val="006551CB"/>
    <w:rsid w:val="00656DFC"/>
    <w:rsid w:val="0066089E"/>
    <w:rsid w:val="00662EAA"/>
    <w:rsid w:val="00663785"/>
    <w:rsid w:val="00664958"/>
    <w:rsid w:val="006649D6"/>
    <w:rsid w:val="00665959"/>
    <w:rsid w:val="00667683"/>
    <w:rsid w:val="0067078E"/>
    <w:rsid w:val="00671B37"/>
    <w:rsid w:val="00672840"/>
    <w:rsid w:val="00673042"/>
    <w:rsid w:val="006749AD"/>
    <w:rsid w:val="0067646A"/>
    <w:rsid w:val="00682011"/>
    <w:rsid w:val="00682073"/>
    <w:rsid w:val="006822B7"/>
    <w:rsid w:val="00682B7D"/>
    <w:rsid w:val="00683A8F"/>
    <w:rsid w:val="006853C3"/>
    <w:rsid w:val="0068672D"/>
    <w:rsid w:val="00690965"/>
    <w:rsid w:val="0069227C"/>
    <w:rsid w:val="0069275C"/>
    <w:rsid w:val="006935BD"/>
    <w:rsid w:val="00696521"/>
    <w:rsid w:val="006967FA"/>
    <w:rsid w:val="006A0531"/>
    <w:rsid w:val="006A10A4"/>
    <w:rsid w:val="006A306E"/>
    <w:rsid w:val="006B4276"/>
    <w:rsid w:val="006B448E"/>
    <w:rsid w:val="006B4B17"/>
    <w:rsid w:val="006B71D6"/>
    <w:rsid w:val="006B7649"/>
    <w:rsid w:val="006C2A0A"/>
    <w:rsid w:val="006C2DC7"/>
    <w:rsid w:val="006C2FCC"/>
    <w:rsid w:val="006D2AD0"/>
    <w:rsid w:val="006D2E7F"/>
    <w:rsid w:val="006D2EA7"/>
    <w:rsid w:val="006D439A"/>
    <w:rsid w:val="006D490D"/>
    <w:rsid w:val="006D4D0C"/>
    <w:rsid w:val="006E098E"/>
    <w:rsid w:val="006E0C22"/>
    <w:rsid w:val="006E2EEA"/>
    <w:rsid w:val="006E644E"/>
    <w:rsid w:val="006E663D"/>
    <w:rsid w:val="006E6FC7"/>
    <w:rsid w:val="006E7B56"/>
    <w:rsid w:val="006F1488"/>
    <w:rsid w:val="006F1BC1"/>
    <w:rsid w:val="006F2175"/>
    <w:rsid w:val="006F25DD"/>
    <w:rsid w:val="006F27A1"/>
    <w:rsid w:val="006F3646"/>
    <w:rsid w:val="006F78EA"/>
    <w:rsid w:val="006F7E04"/>
    <w:rsid w:val="00700DA4"/>
    <w:rsid w:val="007010AA"/>
    <w:rsid w:val="0070154D"/>
    <w:rsid w:val="00701D0F"/>
    <w:rsid w:val="00702292"/>
    <w:rsid w:val="00702659"/>
    <w:rsid w:val="00702B6B"/>
    <w:rsid w:val="00704A2D"/>
    <w:rsid w:val="0070526B"/>
    <w:rsid w:val="007079B0"/>
    <w:rsid w:val="00712B72"/>
    <w:rsid w:val="00721733"/>
    <w:rsid w:val="00723AEF"/>
    <w:rsid w:val="0072450C"/>
    <w:rsid w:val="00724DFB"/>
    <w:rsid w:val="00724EC1"/>
    <w:rsid w:val="00726049"/>
    <w:rsid w:val="00726362"/>
    <w:rsid w:val="00726429"/>
    <w:rsid w:val="00726912"/>
    <w:rsid w:val="00726C26"/>
    <w:rsid w:val="00726C85"/>
    <w:rsid w:val="0072709D"/>
    <w:rsid w:val="007304F8"/>
    <w:rsid w:val="00731863"/>
    <w:rsid w:val="00731F90"/>
    <w:rsid w:val="007376BE"/>
    <w:rsid w:val="007401D3"/>
    <w:rsid w:val="0074068D"/>
    <w:rsid w:val="0074088D"/>
    <w:rsid w:val="00740CAA"/>
    <w:rsid w:val="00740EC3"/>
    <w:rsid w:val="00741296"/>
    <w:rsid w:val="007417B0"/>
    <w:rsid w:val="00742436"/>
    <w:rsid w:val="00750335"/>
    <w:rsid w:val="007519F9"/>
    <w:rsid w:val="00751BBC"/>
    <w:rsid w:val="00752036"/>
    <w:rsid w:val="007529F7"/>
    <w:rsid w:val="007538C1"/>
    <w:rsid w:val="00753FE2"/>
    <w:rsid w:val="00754AB6"/>
    <w:rsid w:val="007558EE"/>
    <w:rsid w:val="00761B7F"/>
    <w:rsid w:val="007623D3"/>
    <w:rsid w:val="00766439"/>
    <w:rsid w:val="00766F6E"/>
    <w:rsid w:val="00767E22"/>
    <w:rsid w:val="00770095"/>
    <w:rsid w:val="00770D8C"/>
    <w:rsid w:val="0077509F"/>
    <w:rsid w:val="00777AAE"/>
    <w:rsid w:val="00777CD6"/>
    <w:rsid w:val="00777E33"/>
    <w:rsid w:val="00780306"/>
    <w:rsid w:val="00781574"/>
    <w:rsid w:val="00781C40"/>
    <w:rsid w:val="00783B44"/>
    <w:rsid w:val="00785AA8"/>
    <w:rsid w:val="007870BB"/>
    <w:rsid w:val="007878EE"/>
    <w:rsid w:val="007902D6"/>
    <w:rsid w:val="00791160"/>
    <w:rsid w:val="007925CF"/>
    <w:rsid w:val="0079350A"/>
    <w:rsid w:val="00794167"/>
    <w:rsid w:val="007944A7"/>
    <w:rsid w:val="007945AE"/>
    <w:rsid w:val="007A3641"/>
    <w:rsid w:val="007A424C"/>
    <w:rsid w:val="007A450D"/>
    <w:rsid w:val="007A6B2C"/>
    <w:rsid w:val="007A7A9A"/>
    <w:rsid w:val="007B25E1"/>
    <w:rsid w:val="007B55EB"/>
    <w:rsid w:val="007C0458"/>
    <w:rsid w:val="007C1EEF"/>
    <w:rsid w:val="007C3B5E"/>
    <w:rsid w:val="007C419B"/>
    <w:rsid w:val="007D0390"/>
    <w:rsid w:val="007D0F23"/>
    <w:rsid w:val="007D2079"/>
    <w:rsid w:val="007D2F73"/>
    <w:rsid w:val="007D3A88"/>
    <w:rsid w:val="007D5A80"/>
    <w:rsid w:val="007D6354"/>
    <w:rsid w:val="007D665E"/>
    <w:rsid w:val="007D6C9D"/>
    <w:rsid w:val="007E4AE3"/>
    <w:rsid w:val="007F163E"/>
    <w:rsid w:val="007F16E3"/>
    <w:rsid w:val="007F218C"/>
    <w:rsid w:val="007F2AB3"/>
    <w:rsid w:val="007F3539"/>
    <w:rsid w:val="007F3DA8"/>
    <w:rsid w:val="007F4056"/>
    <w:rsid w:val="007F467B"/>
    <w:rsid w:val="007F49E6"/>
    <w:rsid w:val="00801344"/>
    <w:rsid w:val="00801BBD"/>
    <w:rsid w:val="0080294A"/>
    <w:rsid w:val="0080357B"/>
    <w:rsid w:val="00804E85"/>
    <w:rsid w:val="008058D1"/>
    <w:rsid w:val="00805E8E"/>
    <w:rsid w:val="00807806"/>
    <w:rsid w:val="008078D2"/>
    <w:rsid w:val="00815C1B"/>
    <w:rsid w:val="008168BA"/>
    <w:rsid w:val="00820242"/>
    <w:rsid w:val="008211BD"/>
    <w:rsid w:val="00822B38"/>
    <w:rsid w:val="00822DF0"/>
    <w:rsid w:val="00824238"/>
    <w:rsid w:val="00826697"/>
    <w:rsid w:val="0082787E"/>
    <w:rsid w:val="00831970"/>
    <w:rsid w:val="0083562F"/>
    <w:rsid w:val="0083601A"/>
    <w:rsid w:val="00840C92"/>
    <w:rsid w:val="00842F08"/>
    <w:rsid w:val="00844E2C"/>
    <w:rsid w:val="00845E51"/>
    <w:rsid w:val="008463DA"/>
    <w:rsid w:val="008473DC"/>
    <w:rsid w:val="00850EEE"/>
    <w:rsid w:val="00851D25"/>
    <w:rsid w:val="0085268F"/>
    <w:rsid w:val="008539BB"/>
    <w:rsid w:val="008560B4"/>
    <w:rsid w:val="00856F7B"/>
    <w:rsid w:val="00857AED"/>
    <w:rsid w:val="00862EA7"/>
    <w:rsid w:val="008640E2"/>
    <w:rsid w:val="00864348"/>
    <w:rsid w:val="008666AA"/>
    <w:rsid w:val="00871453"/>
    <w:rsid w:val="00873456"/>
    <w:rsid w:val="0087634C"/>
    <w:rsid w:val="00876CAA"/>
    <w:rsid w:val="0087769F"/>
    <w:rsid w:val="00882B7C"/>
    <w:rsid w:val="00883C2B"/>
    <w:rsid w:val="00884778"/>
    <w:rsid w:val="00884ECA"/>
    <w:rsid w:val="0088753E"/>
    <w:rsid w:val="00887F05"/>
    <w:rsid w:val="00890854"/>
    <w:rsid w:val="0089267F"/>
    <w:rsid w:val="0089354A"/>
    <w:rsid w:val="008951E4"/>
    <w:rsid w:val="00896C0F"/>
    <w:rsid w:val="008A088B"/>
    <w:rsid w:val="008A28E0"/>
    <w:rsid w:val="008A2E93"/>
    <w:rsid w:val="008A4B9F"/>
    <w:rsid w:val="008A5681"/>
    <w:rsid w:val="008A5AD4"/>
    <w:rsid w:val="008B30AF"/>
    <w:rsid w:val="008B3738"/>
    <w:rsid w:val="008B3EB5"/>
    <w:rsid w:val="008B4333"/>
    <w:rsid w:val="008B4BD3"/>
    <w:rsid w:val="008B650C"/>
    <w:rsid w:val="008B700A"/>
    <w:rsid w:val="008B729D"/>
    <w:rsid w:val="008B7C3D"/>
    <w:rsid w:val="008C197C"/>
    <w:rsid w:val="008C3C44"/>
    <w:rsid w:val="008C6443"/>
    <w:rsid w:val="008D0B68"/>
    <w:rsid w:val="008D157B"/>
    <w:rsid w:val="008D41C6"/>
    <w:rsid w:val="008D5AEA"/>
    <w:rsid w:val="008D6972"/>
    <w:rsid w:val="008D6A44"/>
    <w:rsid w:val="008D7D36"/>
    <w:rsid w:val="008E1851"/>
    <w:rsid w:val="008E19C1"/>
    <w:rsid w:val="008E38B1"/>
    <w:rsid w:val="008E6C38"/>
    <w:rsid w:val="008F1BFD"/>
    <w:rsid w:val="008F360C"/>
    <w:rsid w:val="008F57B1"/>
    <w:rsid w:val="008F596B"/>
    <w:rsid w:val="00900F96"/>
    <w:rsid w:val="00901B61"/>
    <w:rsid w:val="00904F1C"/>
    <w:rsid w:val="00906DEE"/>
    <w:rsid w:val="00907147"/>
    <w:rsid w:val="00907E44"/>
    <w:rsid w:val="00910258"/>
    <w:rsid w:val="00910DB8"/>
    <w:rsid w:val="00911919"/>
    <w:rsid w:val="00912E98"/>
    <w:rsid w:val="009159A4"/>
    <w:rsid w:val="00917869"/>
    <w:rsid w:val="00920A4F"/>
    <w:rsid w:val="00920B22"/>
    <w:rsid w:val="00927F11"/>
    <w:rsid w:val="009312C7"/>
    <w:rsid w:val="0093293B"/>
    <w:rsid w:val="00935F7C"/>
    <w:rsid w:val="0093607F"/>
    <w:rsid w:val="00937D51"/>
    <w:rsid w:val="00940D93"/>
    <w:rsid w:val="00942588"/>
    <w:rsid w:val="009429A9"/>
    <w:rsid w:val="00942A91"/>
    <w:rsid w:val="00946265"/>
    <w:rsid w:val="0094692D"/>
    <w:rsid w:val="009516C3"/>
    <w:rsid w:val="0095189C"/>
    <w:rsid w:val="00952FFC"/>
    <w:rsid w:val="00954733"/>
    <w:rsid w:val="00954D6A"/>
    <w:rsid w:val="00954F08"/>
    <w:rsid w:val="00956D6A"/>
    <w:rsid w:val="009573D4"/>
    <w:rsid w:val="00957C85"/>
    <w:rsid w:val="0096008B"/>
    <w:rsid w:val="0096115A"/>
    <w:rsid w:val="00961EE2"/>
    <w:rsid w:val="00963152"/>
    <w:rsid w:val="0096359A"/>
    <w:rsid w:val="00964187"/>
    <w:rsid w:val="0096456B"/>
    <w:rsid w:val="00966ADE"/>
    <w:rsid w:val="009710B6"/>
    <w:rsid w:val="0097148E"/>
    <w:rsid w:val="0097209E"/>
    <w:rsid w:val="00975DE8"/>
    <w:rsid w:val="00985418"/>
    <w:rsid w:val="00985992"/>
    <w:rsid w:val="00986880"/>
    <w:rsid w:val="00987386"/>
    <w:rsid w:val="009902E4"/>
    <w:rsid w:val="009935BF"/>
    <w:rsid w:val="00994092"/>
    <w:rsid w:val="009963C2"/>
    <w:rsid w:val="009974E0"/>
    <w:rsid w:val="009A274D"/>
    <w:rsid w:val="009A37E7"/>
    <w:rsid w:val="009A4F8D"/>
    <w:rsid w:val="009A5B05"/>
    <w:rsid w:val="009B253C"/>
    <w:rsid w:val="009B28AC"/>
    <w:rsid w:val="009B3112"/>
    <w:rsid w:val="009B3FDF"/>
    <w:rsid w:val="009B40CC"/>
    <w:rsid w:val="009B4919"/>
    <w:rsid w:val="009C2DD0"/>
    <w:rsid w:val="009C2E5B"/>
    <w:rsid w:val="009D0962"/>
    <w:rsid w:val="009D5850"/>
    <w:rsid w:val="009D7A1F"/>
    <w:rsid w:val="009E09DB"/>
    <w:rsid w:val="009E1747"/>
    <w:rsid w:val="009F05BE"/>
    <w:rsid w:val="009F156A"/>
    <w:rsid w:val="009F17EE"/>
    <w:rsid w:val="009F26DF"/>
    <w:rsid w:val="009F5680"/>
    <w:rsid w:val="009F6411"/>
    <w:rsid w:val="009F6567"/>
    <w:rsid w:val="00A01679"/>
    <w:rsid w:val="00A04CFA"/>
    <w:rsid w:val="00A059D6"/>
    <w:rsid w:val="00A0620D"/>
    <w:rsid w:val="00A070DF"/>
    <w:rsid w:val="00A07223"/>
    <w:rsid w:val="00A10623"/>
    <w:rsid w:val="00A12021"/>
    <w:rsid w:val="00A1236D"/>
    <w:rsid w:val="00A124AC"/>
    <w:rsid w:val="00A13AA1"/>
    <w:rsid w:val="00A15744"/>
    <w:rsid w:val="00A23014"/>
    <w:rsid w:val="00A23167"/>
    <w:rsid w:val="00A23FE9"/>
    <w:rsid w:val="00A26A32"/>
    <w:rsid w:val="00A30EEE"/>
    <w:rsid w:val="00A40B40"/>
    <w:rsid w:val="00A43C6F"/>
    <w:rsid w:val="00A4406B"/>
    <w:rsid w:val="00A50E0D"/>
    <w:rsid w:val="00A5148F"/>
    <w:rsid w:val="00A61B81"/>
    <w:rsid w:val="00A62C40"/>
    <w:rsid w:val="00A62CA9"/>
    <w:rsid w:val="00A6399C"/>
    <w:rsid w:val="00A657DA"/>
    <w:rsid w:val="00A65A9E"/>
    <w:rsid w:val="00A65BF1"/>
    <w:rsid w:val="00A67A50"/>
    <w:rsid w:val="00A7030F"/>
    <w:rsid w:val="00A7370C"/>
    <w:rsid w:val="00A74D56"/>
    <w:rsid w:val="00A75162"/>
    <w:rsid w:val="00A77588"/>
    <w:rsid w:val="00A77F3C"/>
    <w:rsid w:val="00A81301"/>
    <w:rsid w:val="00A8535E"/>
    <w:rsid w:val="00A87EC4"/>
    <w:rsid w:val="00A90E2F"/>
    <w:rsid w:val="00A92E65"/>
    <w:rsid w:val="00A93142"/>
    <w:rsid w:val="00A9355E"/>
    <w:rsid w:val="00A93912"/>
    <w:rsid w:val="00A93BE3"/>
    <w:rsid w:val="00A95791"/>
    <w:rsid w:val="00AA11ED"/>
    <w:rsid w:val="00AA28B4"/>
    <w:rsid w:val="00AA2AD9"/>
    <w:rsid w:val="00AA2DFC"/>
    <w:rsid w:val="00AA423A"/>
    <w:rsid w:val="00AA49AA"/>
    <w:rsid w:val="00AA52B6"/>
    <w:rsid w:val="00AA637B"/>
    <w:rsid w:val="00AA7804"/>
    <w:rsid w:val="00AB0946"/>
    <w:rsid w:val="00AB1437"/>
    <w:rsid w:val="00AB1462"/>
    <w:rsid w:val="00AB31B5"/>
    <w:rsid w:val="00AB34DB"/>
    <w:rsid w:val="00AB39B4"/>
    <w:rsid w:val="00AB4C5E"/>
    <w:rsid w:val="00AC05E2"/>
    <w:rsid w:val="00AC127B"/>
    <w:rsid w:val="00AC1ACD"/>
    <w:rsid w:val="00AC35E1"/>
    <w:rsid w:val="00AC58AA"/>
    <w:rsid w:val="00AD1B6F"/>
    <w:rsid w:val="00AD1BCB"/>
    <w:rsid w:val="00AD2A13"/>
    <w:rsid w:val="00AD31A3"/>
    <w:rsid w:val="00AD3F55"/>
    <w:rsid w:val="00AD403C"/>
    <w:rsid w:val="00AD412E"/>
    <w:rsid w:val="00AD5E22"/>
    <w:rsid w:val="00AD6713"/>
    <w:rsid w:val="00AE01F6"/>
    <w:rsid w:val="00AE2239"/>
    <w:rsid w:val="00AE46ED"/>
    <w:rsid w:val="00AE7103"/>
    <w:rsid w:val="00AE7EB5"/>
    <w:rsid w:val="00AF0B5A"/>
    <w:rsid w:val="00AF10E5"/>
    <w:rsid w:val="00AF18E6"/>
    <w:rsid w:val="00AF53BE"/>
    <w:rsid w:val="00AF7065"/>
    <w:rsid w:val="00B04155"/>
    <w:rsid w:val="00B04B0A"/>
    <w:rsid w:val="00B05857"/>
    <w:rsid w:val="00B06BA1"/>
    <w:rsid w:val="00B11469"/>
    <w:rsid w:val="00B12265"/>
    <w:rsid w:val="00B12B55"/>
    <w:rsid w:val="00B14F9A"/>
    <w:rsid w:val="00B160D9"/>
    <w:rsid w:val="00B16DF8"/>
    <w:rsid w:val="00B2047C"/>
    <w:rsid w:val="00B20AC6"/>
    <w:rsid w:val="00B21795"/>
    <w:rsid w:val="00B217D7"/>
    <w:rsid w:val="00B22D74"/>
    <w:rsid w:val="00B239B7"/>
    <w:rsid w:val="00B31689"/>
    <w:rsid w:val="00B33340"/>
    <w:rsid w:val="00B34020"/>
    <w:rsid w:val="00B3725C"/>
    <w:rsid w:val="00B379AE"/>
    <w:rsid w:val="00B40DFD"/>
    <w:rsid w:val="00B4322B"/>
    <w:rsid w:val="00B43C03"/>
    <w:rsid w:val="00B44A16"/>
    <w:rsid w:val="00B44FE8"/>
    <w:rsid w:val="00B525A7"/>
    <w:rsid w:val="00B54185"/>
    <w:rsid w:val="00B54806"/>
    <w:rsid w:val="00B548EC"/>
    <w:rsid w:val="00B55FDA"/>
    <w:rsid w:val="00B56D46"/>
    <w:rsid w:val="00B5792D"/>
    <w:rsid w:val="00B57ABA"/>
    <w:rsid w:val="00B60184"/>
    <w:rsid w:val="00B61B96"/>
    <w:rsid w:val="00B61E16"/>
    <w:rsid w:val="00B62C91"/>
    <w:rsid w:val="00B631B5"/>
    <w:rsid w:val="00B63BE5"/>
    <w:rsid w:val="00B65B6F"/>
    <w:rsid w:val="00B66338"/>
    <w:rsid w:val="00B66DBD"/>
    <w:rsid w:val="00B718EA"/>
    <w:rsid w:val="00B74E71"/>
    <w:rsid w:val="00B76541"/>
    <w:rsid w:val="00B774DD"/>
    <w:rsid w:val="00B77962"/>
    <w:rsid w:val="00B77EB7"/>
    <w:rsid w:val="00B84427"/>
    <w:rsid w:val="00B84E2F"/>
    <w:rsid w:val="00B90F0C"/>
    <w:rsid w:val="00B91043"/>
    <w:rsid w:val="00B91A5C"/>
    <w:rsid w:val="00B922BB"/>
    <w:rsid w:val="00B927FF"/>
    <w:rsid w:val="00B92F6B"/>
    <w:rsid w:val="00BA05AD"/>
    <w:rsid w:val="00BA0D53"/>
    <w:rsid w:val="00BA126E"/>
    <w:rsid w:val="00BA2229"/>
    <w:rsid w:val="00BA2DFF"/>
    <w:rsid w:val="00BA4479"/>
    <w:rsid w:val="00BA6119"/>
    <w:rsid w:val="00BA6823"/>
    <w:rsid w:val="00BA7A00"/>
    <w:rsid w:val="00BB32FF"/>
    <w:rsid w:val="00BB3CEE"/>
    <w:rsid w:val="00BB4FC3"/>
    <w:rsid w:val="00BB522A"/>
    <w:rsid w:val="00BB660E"/>
    <w:rsid w:val="00BB6A4D"/>
    <w:rsid w:val="00BC1C95"/>
    <w:rsid w:val="00BC29AE"/>
    <w:rsid w:val="00BC2ACC"/>
    <w:rsid w:val="00BC3850"/>
    <w:rsid w:val="00BC4A90"/>
    <w:rsid w:val="00BC6929"/>
    <w:rsid w:val="00BC7CB9"/>
    <w:rsid w:val="00BD388C"/>
    <w:rsid w:val="00BD5AEF"/>
    <w:rsid w:val="00BD70E3"/>
    <w:rsid w:val="00BD76F7"/>
    <w:rsid w:val="00BD7FFB"/>
    <w:rsid w:val="00BE01F3"/>
    <w:rsid w:val="00BE19AC"/>
    <w:rsid w:val="00BE219A"/>
    <w:rsid w:val="00BE2449"/>
    <w:rsid w:val="00BE2B64"/>
    <w:rsid w:val="00BE2BA3"/>
    <w:rsid w:val="00BE3ADC"/>
    <w:rsid w:val="00BE5F8C"/>
    <w:rsid w:val="00BE6A3C"/>
    <w:rsid w:val="00BF0457"/>
    <w:rsid w:val="00BF3A23"/>
    <w:rsid w:val="00BF48A3"/>
    <w:rsid w:val="00BF67EC"/>
    <w:rsid w:val="00C02E0D"/>
    <w:rsid w:val="00C03DA6"/>
    <w:rsid w:val="00C03F77"/>
    <w:rsid w:val="00C04EE2"/>
    <w:rsid w:val="00C062A7"/>
    <w:rsid w:val="00C11995"/>
    <w:rsid w:val="00C11CDD"/>
    <w:rsid w:val="00C1257E"/>
    <w:rsid w:val="00C13255"/>
    <w:rsid w:val="00C13B36"/>
    <w:rsid w:val="00C15031"/>
    <w:rsid w:val="00C20EA8"/>
    <w:rsid w:val="00C236A5"/>
    <w:rsid w:val="00C23FC8"/>
    <w:rsid w:val="00C255D7"/>
    <w:rsid w:val="00C25EC3"/>
    <w:rsid w:val="00C2641D"/>
    <w:rsid w:val="00C26F61"/>
    <w:rsid w:val="00C279F8"/>
    <w:rsid w:val="00C27A89"/>
    <w:rsid w:val="00C306C6"/>
    <w:rsid w:val="00C31402"/>
    <w:rsid w:val="00C3237F"/>
    <w:rsid w:val="00C36848"/>
    <w:rsid w:val="00C4105F"/>
    <w:rsid w:val="00C42238"/>
    <w:rsid w:val="00C45FE2"/>
    <w:rsid w:val="00C46C1A"/>
    <w:rsid w:val="00C506D5"/>
    <w:rsid w:val="00C53052"/>
    <w:rsid w:val="00C55BA2"/>
    <w:rsid w:val="00C55C66"/>
    <w:rsid w:val="00C56385"/>
    <w:rsid w:val="00C56718"/>
    <w:rsid w:val="00C62FD8"/>
    <w:rsid w:val="00C647BF"/>
    <w:rsid w:val="00C65383"/>
    <w:rsid w:val="00C66155"/>
    <w:rsid w:val="00C667D0"/>
    <w:rsid w:val="00C67C43"/>
    <w:rsid w:val="00C67ED4"/>
    <w:rsid w:val="00C70728"/>
    <w:rsid w:val="00C70E68"/>
    <w:rsid w:val="00C71955"/>
    <w:rsid w:val="00C720FB"/>
    <w:rsid w:val="00C75943"/>
    <w:rsid w:val="00C76552"/>
    <w:rsid w:val="00C76640"/>
    <w:rsid w:val="00C77ECD"/>
    <w:rsid w:val="00C82DD2"/>
    <w:rsid w:val="00C82EAF"/>
    <w:rsid w:val="00C9614F"/>
    <w:rsid w:val="00C96238"/>
    <w:rsid w:val="00CA1E47"/>
    <w:rsid w:val="00CA29F8"/>
    <w:rsid w:val="00CA3093"/>
    <w:rsid w:val="00CA3268"/>
    <w:rsid w:val="00CA61ED"/>
    <w:rsid w:val="00CA6376"/>
    <w:rsid w:val="00CB085A"/>
    <w:rsid w:val="00CB0AF2"/>
    <w:rsid w:val="00CB10BE"/>
    <w:rsid w:val="00CB2CEE"/>
    <w:rsid w:val="00CB47F0"/>
    <w:rsid w:val="00CB4D79"/>
    <w:rsid w:val="00CC11A6"/>
    <w:rsid w:val="00CC13B7"/>
    <w:rsid w:val="00CC224F"/>
    <w:rsid w:val="00CC34F4"/>
    <w:rsid w:val="00CC7054"/>
    <w:rsid w:val="00CC76F9"/>
    <w:rsid w:val="00CD0573"/>
    <w:rsid w:val="00CD2399"/>
    <w:rsid w:val="00CD522B"/>
    <w:rsid w:val="00CE0434"/>
    <w:rsid w:val="00CE11DE"/>
    <w:rsid w:val="00CE3357"/>
    <w:rsid w:val="00CE4E95"/>
    <w:rsid w:val="00CE5347"/>
    <w:rsid w:val="00CE616F"/>
    <w:rsid w:val="00CE7D6A"/>
    <w:rsid w:val="00CF0EE3"/>
    <w:rsid w:val="00CF1375"/>
    <w:rsid w:val="00CF2DA7"/>
    <w:rsid w:val="00CF3299"/>
    <w:rsid w:val="00CF4B91"/>
    <w:rsid w:val="00CF7CEE"/>
    <w:rsid w:val="00D00313"/>
    <w:rsid w:val="00D00568"/>
    <w:rsid w:val="00D013D9"/>
    <w:rsid w:val="00D0409B"/>
    <w:rsid w:val="00D074D2"/>
    <w:rsid w:val="00D07F00"/>
    <w:rsid w:val="00D103A5"/>
    <w:rsid w:val="00D11895"/>
    <w:rsid w:val="00D120EE"/>
    <w:rsid w:val="00D12A2D"/>
    <w:rsid w:val="00D1409D"/>
    <w:rsid w:val="00D141AF"/>
    <w:rsid w:val="00D17C81"/>
    <w:rsid w:val="00D238A9"/>
    <w:rsid w:val="00D250C0"/>
    <w:rsid w:val="00D26C93"/>
    <w:rsid w:val="00D27A13"/>
    <w:rsid w:val="00D30434"/>
    <w:rsid w:val="00D31B20"/>
    <w:rsid w:val="00D3243B"/>
    <w:rsid w:val="00D32D42"/>
    <w:rsid w:val="00D36D51"/>
    <w:rsid w:val="00D376AF"/>
    <w:rsid w:val="00D43EC0"/>
    <w:rsid w:val="00D44748"/>
    <w:rsid w:val="00D47729"/>
    <w:rsid w:val="00D47E5A"/>
    <w:rsid w:val="00D5041B"/>
    <w:rsid w:val="00D50892"/>
    <w:rsid w:val="00D521C4"/>
    <w:rsid w:val="00D52411"/>
    <w:rsid w:val="00D54226"/>
    <w:rsid w:val="00D54BD2"/>
    <w:rsid w:val="00D55290"/>
    <w:rsid w:val="00D56CB8"/>
    <w:rsid w:val="00D6038B"/>
    <w:rsid w:val="00D646FA"/>
    <w:rsid w:val="00D64A02"/>
    <w:rsid w:val="00D65DAE"/>
    <w:rsid w:val="00D67114"/>
    <w:rsid w:val="00D672FE"/>
    <w:rsid w:val="00D67383"/>
    <w:rsid w:val="00D67A35"/>
    <w:rsid w:val="00D72ED1"/>
    <w:rsid w:val="00D74AD0"/>
    <w:rsid w:val="00D74B9E"/>
    <w:rsid w:val="00D754B2"/>
    <w:rsid w:val="00D76008"/>
    <w:rsid w:val="00D77C27"/>
    <w:rsid w:val="00D82C3D"/>
    <w:rsid w:val="00D83CE7"/>
    <w:rsid w:val="00D84930"/>
    <w:rsid w:val="00D84BAB"/>
    <w:rsid w:val="00D87E36"/>
    <w:rsid w:val="00D9214F"/>
    <w:rsid w:val="00D96846"/>
    <w:rsid w:val="00D97C7B"/>
    <w:rsid w:val="00DA181B"/>
    <w:rsid w:val="00DA4C17"/>
    <w:rsid w:val="00DA5004"/>
    <w:rsid w:val="00DA5346"/>
    <w:rsid w:val="00DA6F01"/>
    <w:rsid w:val="00DA7F1E"/>
    <w:rsid w:val="00DB028C"/>
    <w:rsid w:val="00DB0394"/>
    <w:rsid w:val="00DB085E"/>
    <w:rsid w:val="00DB0900"/>
    <w:rsid w:val="00DB0EC4"/>
    <w:rsid w:val="00DB5304"/>
    <w:rsid w:val="00DB5D24"/>
    <w:rsid w:val="00DC3341"/>
    <w:rsid w:val="00DC3CCD"/>
    <w:rsid w:val="00DC6BC1"/>
    <w:rsid w:val="00DC6F3F"/>
    <w:rsid w:val="00DD20A3"/>
    <w:rsid w:val="00DD231B"/>
    <w:rsid w:val="00DD3782"/>
    <w:rsid w:val="00DD63C5"/>
    <w:rsid w:val="00DD71D1"/>
    <w:rsid w:val="00DE00BD"/>
    <w:rsid w:val="00DE0253"/>
    <w:rsid w:val="00DE6D5A"/>
    <w:rsid w:val="00DE7B87"/>
    <w:rsid w:val="00DF0655"/>
    <w:rsid w:val="00DF0A66"/>
    <w:rsid w:val="00DF0AFF"/>
    <w:rsid w:val="00DF0D7E"/>
    <w:rsid w:val="00DF198C"/>
    <w:rsid w:val="00DF223F"/>
    <w:rsid w:val="00DF3163"/>
    <w:rsid w:val="00DF3CF9"/>
    <w:rsid w:val="00DF44B4"/>
    <w:rsid w:val="00DF509F"/>
    <w:rsid w:val="00DF5FAC"/>
    <w:rsid w:val="00DF71CB"/>
    <w:rsid w:val="00E01B3C"/>
    <w:rsid w:val="00E03916"/>
    <w:rsid w:val="00E0612A"/>
    <w:rsid w:val="00E06DFC"/>
    <w:rsid w:val="00E07DED"/>
    <w:rsid w:val="00E07FE0"/>
    <w:rsid w:val="00E108CD"/>
    <w:rsid w:val="00E11483"/>
    <w:rsid w:val="00E13D4F"/>
    <w:rsid w:val="00E14162"/>
    <w:rsid w:val="00E165B5"/>
    <w:rsid w:val="00E23993"/>
    <w:rsid w:val="00E30161"/>
    <w:rsid w:val="00E320D7"/>
    <w:rsid w:val="00E3279E"/>
    <w:rsid w:val="00E35CDD"/>
    <w:rsid w:val="00E41154"/>
    <w:rsid w:val="00E411D2"/>
    <w:rsid w:val="00E41D84"/>
    <w:rsid w:val="00E444A4"/>
    <w:rsid w:val="00E47DB2"/>
    <w:rsid w:val="00E507FD"/>
    <w:rsid w:val="00E51E37"/>
    <w:rsid w:val="00E5491B"/>
    <w:rsid w:val="00E609D9"/>
    <w:rsid w:val="00E610F2"/>
    <w:rsid w:val="00E61115"/>
    <w:rsid w:val="00E7204B"/>
    <w:rsid w:val="00E7269F"/>
    <w:rsid w:val="00E74346"/>
    <w:rsid w:val="00E751F1"/>
    <w:rsid w:val="00E75764"/>
    <w:rsid w:val="00E76062"/>
    <w:rsid w:val="00E762C8"/>
    <w:rsid w:val="00E7676A"/>
    <w:rsid w:val="00E772BF"/>
    <w:rsid w:val="00E77AC1"/>
    <w:rsid w:val="00E801A3"/>
    <w:rsid w:val="00E80A2F"/>
    <w:rsid w:val="00E810E6"/>
    <w:rsid w:val="00E82211"/>
    <w:rsid w:val="00E87B76"/>
    <w:rsid w:val="00E90A58"/>
    <w:rsid w:val="00E90D2A"/>
    <w:rsid w:val="00E90E0E"/>
    <w:rsid w:val="00E90FBE"/>
    <w:rsid w:val="00E91B91"/>
    <w:rsid w:val="00E931F3"/>
    <w:rsid w:val="00E9671B"/>
    <w:rsid w:val="00EA0F5C"/>
    <w:rsid w:val="00EA30BF"/>
    <w:rsid w:val="00EB2F4B"/>
    <w:rsid w:val="00EB42AC"/>
    <w:rsid w:val="00EC0EDB"/>
    <w:rsid w:val="00EC2E16"/>
    <w:rsid w:val="00EC2EC1"/>
    <w:rsid w:val="00EC3E16"/>
    <w:rsid w:val="00ED15D0"/>
    <w:rsid w:val="00ED2A37"/>
    <w:rsid w:val="00ED6532"/>
    <w:rsid w:val="00EE206B"/>
    <w:rsid w:val="00EE49AE"/>
    <w:rsid w:val="00EE54FE"/>
    <w:rsid w:val="00EE59FD"/>
    <w:rsid w:val="00EE5CD3"/>
    <w:rsid w:val="00EE60DB"/>
    <w:rsid w:val="00EE6339"/>
    <w:rsid w:val="00EE7227"/>
    <w:rsid w:val="00EF6B5F"/>
    <w:rsid w:val="00EF7D78"/>
    <w:rsid w:val="00F008A9"/>
    <w:rsid w:val="00F00DCB"/>
    <w:rsid w:val="00F01719"/>
    <w:rsid w:val="00F02AF7"/>
    <w:rsid w:val="00F02CB6"/>
    <w:rsid w:val="00F039A4"/>
    <w:rsid w:val="00F1452B"/>
    <w:rsid w:val="00F15233"/>
    <w:rsid w:val="00F164E4"/>
    <w:rsid w:val="00F16B6D"/>
    <w:rsid w:val="00F215E2"/>
    <w:rsid w:val="00F22A68"/>
    <w:rsid w:val="00F22FCB"/>
    <w:rsid w:val="00F239CA"/>
    <w:rsid w:val="00F24054"/>
    <w:rsid w:val="00F2419A"/>
    <w:rsid w:val="00F26B6A"/>
    <w:rsid w:val="00F26D60"/>
    <w:rsid w:val="00F31125"/>
    <w:rsid w:val="00F31C15"/>
    <w:rsid w:val="00F323CB"/>
    <w:rsid w:val="00F3394F"/>
    <w:rsid w:val="00F35EAE"/>
    <w:rsid w:val="00F36581"/>
    <w:rsid w:val="00F4346C"/>
    <w:rsid w:val="00F4414F"/>
    <w:rsid w:val="00F468FC"/>
    <w:rsid w:val="00F50B5F"/>
    <w:rsid w:val="00F51E50"/>
    <w:rsid w:val="00F5232A"/>
    <w:rsid w:val="00F545AA"/>
    <w:rsid w:val="00F54883"/>
    <w:rsid w:val="00F553ED"/>
    <w:rsid w:val="00F555AF"/>
    <w:rsid w:val="00F55DFC"/>
    <w:rsid w:val="00F60FF7"/>
    <w:rsid w:val="00F61082"/>
    <w:rsid w:val="00F637AE"/>
    <w:rsid w:val="00F63CBC"/>
    <w:rsid w:val="00F66832"/>
    <w:rsid w:val="00F676FD"/>
    <w:rsid w:val="00F72BAC"/>
    <w:rsid w:val="00F73DA0"/>
    <w:rsid w:val="00F75670"/>
    <w:rsid w:val="00F75D0C"/>
    <w:rsid w:val="00F76E41"/>
    <w:rsid w:val="00F82036"/>
    <w:rsid w:val="00F824B0"/>
    <w:rsid w:val="00F8290D"/>
    <w:rsid w:val="00F82AEA"/>
    <w:rsid w:val="00F82E0C"/>
    <w:rsid w:val="00F86046"/>
    <w:rsid w:val="00F9062D"/>
    <w:rsid w:val="00F9121F"/>
    <w:rsid w:val="00F919A6"/>
    <w:rsid w:val="00F967B6"/>
    <w:rsid w:val="00F96B00"/>
    <w:rsid w:val="00FA0932"/>
    <w:rsid w:val="00FA2BD8"/>
    <w:rsid w:val="00FA6A07"/>
    <w:rsid w:val="00FA78B2"/>
    <w:rsid w:val="00FB37C2"/>
    <w:rsid w:val="00FB5235"/>
    <w:rsid w:val="00FC1837"/>
    <w:rsid w:val="00FC48F1"/>
    <w:rsid w:val="00FC4FA8"/>
    <w:rsid w:val="00FC573B"/>
    <w:rsid w:val="00FD2941"/>
    <w:rsid w:val="00FD2AFC"/>
    <w:rsid w:val="00FD3223"/>
    <w:rsid w:val="00FE1B94"/>
    <w:rsid w:val="00FE1F0B"/>
    <w:rsid w:val="00FE2267"/>
    <w:rsid w:val="00FE24C3"/>
    <w:rsid w:val="00FE3050"/>
    <w:rsid w:val="00FE3266"/>
    <w:rsid w:val="00FF10E8"/>
    <w:rsid w:val="00FF275F"/>
    <w:rsid w:val="00FF2EB2"/>
    <w:rsid w:val="00FF4388"/>
    <w:rsid w:val="00FF6123"/>
    <w:rsid w:val="00FF62AB"/>
    <w:rsid w:val="059D8A51"/>
    <w:rsid w:val="05ED9EF7"/>
    <w:rsid w:val="0CAE4D9D"/>
    <w:rsid w:val="288E62A0"/>
    <w:rsid w:val="406507AB"/>
    <w:rsid w:val="466AE43E"/>
    <w:rsid w:val="76F5E224"/>
    <w:rsid w:val="7B50B2D1"/>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ECABCB"/>
  <w15:chartTrackingRefBased/>
  <w15:docId w15:val="{C802AADE-91D3-476B-80AF-E33C2CC05C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526B"/>
    <w:pPr>
      <w:spacing w:after="160" w:line="259" w:lineRule="auto"/>
      <w:jc w:val="both"/>
    </w:pPr>
    <w:rPr>
      <w:rFonts w:ascii="Arial" w:hAnsi="Arial"/>
      <w:szCs w:val="22"/>
    </w:rPr>
  </w:style>
  <w:style w:type="paragraph" w:styleId="Ttulo1">
    <w:name w:val="heading 1"/>
    <w:aliases w:val="Edgar 1,1 ghost,g,Nombre Proyecto,Título 1-BCN,MT1,Título 1_rosado,1. Título 1,Título 11,Título 1A,Titre principal (1),T1,CAPITULO 1,título 1,(TITULO),h1,II+,I,h11,II+1,I1"/>
    <w:basedOn w:val="Normal"/>
    <w:next w:val="Normal"/>
    <w:link w:val="Ttulo1Car"/>
    <w:uiPriority w:val="9"/>
    <w:qFormat/>
    <w:rsid w:val="0070526B"/>
    <w:pPr>
      <w:keepNext/>
      <w:keepLines/>
      <w:numPr>
        <w:numId w:val="2"/>
      </w:numPr>
      <w:pBdr>
        <w:bottom w:val="single" w:sz="4" w:space="1" w:color="595959"/>
      </w:pBdr>
      <w:spacing w:before="360"/>
      <w:outlineLvl w:val="0"/>
    </w:pPr>
    <w:rPr>
      <w:rFonts w:ascii="Calibri Light" w:eastAsia="SimSun" w:hAnsi="Calibri Light"/>
      <w:b/>
      <w:bCs/>
      <w:smallCaps/>
      <w:color w:val="000000"/>
      <w:sz w:val="36"/>
      <w:szCs w:val="36"/>
    </w:rPr>
  </w:style>
  <w:style w:type="paragraph" w:styleId="Ttulo2">
    <w:name w:val="heading 2"/>
    <w:aliases w:val="Título Segundo nivel"/>
    <w:basedOn w:val="Normal"/>
    <w:next w:val="Normal"/>
    <w:link w:val="Ttulo2Car"/>
    <w:uiPriority w:val="9"/>
    <w:unhideWhenUsed/>
    <w:qFormat/>
    <w:rsid w:val="0070526B"/>
    <w:pPr>
      <w:keepNext/>
      <w:keepLines/>
      <w:numPr>
        <w:ilvl w:val="1"/>
        <w:numId w:val="2"/>
      </w:numPr>
      <w:spacing w:before="360" w:after="0"/>
      <w:outlineLvl w:val="1"/>
    </w:pPr>
    <w:rPr>
      <w:rFonts w:ascii="Calibri Light" w:eastAsia="SimSun" w:hAnsi="Calibri Light"/>
      <w:b/>
      <w:bCs/>
      <w:smallCaps/>
      <w:color w:val="000000"/>
      <w:sz w:val="28"/>
      <w:szCs w:val="28"/>
    </w:rPr>
  </w:style>
  <w:style w:type="paragraph" w:styleId="Ttulo3">
    <w:name w:val="heading 3"/>
    <w:aliases w:val="moloko,Edgar 3,1.1.1Título 3,Título 3-BCN,3 bullet,2,MT3,H3,Título 3_verde,Título 3A,Sous-titre (3)"/>
    <w:basedOn w:val="Normal"/>
    <w:next w:val="Normal"/>
    <w:link w:val="Ttulo3Car"/>
    <w:uiPriority w:val="9"/>
    <w:unhideWhenUsed/>
    <w:qFormat/>
    <w:rsid w:val="0070526B"/>
    <w:pPr>
      <w:keepNext/>
      <w:keepLines/>
      <w:numPr>
        <w:ilvl w:val="2"/>
        <w:numId w:val="2"/>
      </w:numPr>
      <w:spacing w:before="200" w:after="0"/>
      <w:outlineLvl w:val="2"/>
    </w:pPr>
    <w:rPr>
      <w:rFonts w:ascii="Calibri Light" w:eastAsia="SimSun" w:hAnsi="Calibri Light"/>
      <w:b/>
      <w:bCs/>
      <w:color w:val="000000"/>
    </w:rPr>
  </w:style>
  <w:style w:type="paragraph" w:styleId="Ttulo4">
    <w:name w:val="heading 4"/>
    <w:aliases w:val="Edgar 4,Título 4 - BCN,4 dash,d,3"/>
    <w:basedOn w:val="Normal"/>
    <w:next w:val="Normal"/>
    <w:link w:val="Ttulo4Car"/>
    <w:uiPriority w:val="9"/>
    <w:unhideWhenUsed/>
    <w:qFormat/>
    <w:rsid w:val="0070526B"/>
    <w:pPr>
      <w:keepNext/>
      <w:keepLines/>
      <w:numPr>
        <w:ilvl w:val="3"/>
        <w:numId w:val="2"/>
      </w:numPr>
      <w:spacing w:before="200" w:after="0"/>
      <w:outlineLvl w:val="3"/>
    </w:pPr>
    <w:rPr>
      <w:rFonts w:ascii="Calibri Light" w:eastAsia="SimSun" w:hAnsi="Calibri Light"/>
      <w:b/>
      <w:bCs/>
      <w:i/>
      <w:iCs/>
      <w:color w:val="000000"/>
    </w:rPr>
  </w:style>
  <w:style w:type="paragraph" w:styleId="Ttulo5">
    <w:name w:val="heading 5"/>
    <w:aliases w:val="Título 5-BCN"/>
    <w:basedOn w:val="Normal"/>
    <w:next w:val="Normal"/>
    <w:link w:val="Ttulo5Car"/>
    <w:uiPriority w:val="9"/>
    <w:unhideWhenUsed/>
    <w:qFormat/>
    <w:rsid w:val="0070526B"/>
    <w:pPr>
      <w:keepNext/>
      <w:keepLines/>
      <w:numPr>
        <w:ilvl w:val="4"/>
        <w:numId w:val="2"/>
      </w:numPr>
      <w:spacing w:before="200" w:after="0"/>
      <w:outlineLvl w:val="4"/>
    </w:pPr>
    <w:rPr>
      <w:rFonts w:ascii="Calibri Light" w:eastAsia="SimSun" w:hAnsi="Calibri Light"/>
      <w:color w:val="323E4F"/>
    </w:rPr>
  </w:style>
  <w:style w:type="paragraph" w:styleId="Ttulo6">
    <w:name w:val="heading 6"/>
    <w:aliases w:val="Título 6-BCN"/>
    <w:basedOn w:val="Normal"/>
    <w:next w:val="Normal"/>
    <w:link w:val="Ttulo6Car"/>
    <w:uiPriority w:val="9"/>
    <w:unhideWhenUsed/>
    <w:qFormat/>
    <w:rsid w:val="0070526B"/>
    <w:pPr>
      <w:keepNext/>
      <w:keepLines/>
      <w:numPr>
        <w:ilvl w:val="5"/>
        <w:numId w:val="2"/>
      </w:numPr>
      <w:spacing w:before="200" w:after="0"/>
      <w:outlineLvl w:val="5"/>
    </w:pPr>
    <w:rPr>
      <w:rFonts w:ascii="Calibri Light" w:eastAsia="SimSun" w:hAnsi="Calibri Light"/>
      <w:i/>
      <w:iCs/>
      <w:color w:val="323E4F"/>
    </w:rPr>
  </w:style>
  <w:style w:type="paragraph" w:styleId="Ttulo7">
    <w:name w:val="heading 7"/>
    <w:basedOn w:val="Normal"/>
    <w:next w:val="Normal"/>
    <w:link w:val="Ttulo7Car"/>
    <w:uiPriority w:val="9"/>
    <w:unhideWhenUsed/>
    <w:qFormat/>
    <w:rsid w:val="0070526B"/>
    <w:pPr>
      <w:keepNext/>
      <w:keepLines/>
      <w:numPr>
        <w:ilvl w:val="6"/>
        <w:numId w:val="2"/>
      </w:numPr>
      <w:spacing w:before="200" w:after="0"/>
      <w:outlineLvl w:val="6"/>
    </w:pPr>
    <w:rPr>
      <w:rFonts w:ascii="Calibri Light" w:eastAsia="SimSun" w:hAnsi="Calibri Light"/>
      <w:i/>
      <w:iCs/>
      <w:color w:val="404040"/>
    </w:rPr>
  </w:style>
  <w:style w:type="paragraph" w:styleId="Ttulo8">
    <w:name w:val="heading 8"/>
    <w:basedOn w:val="Normal"/>
    <w:next w:val="Normal"/>
    <w:link w:val="Ttulo8Car"/>
    <w:uiPriority w:val="9"/>
    <w:unhideWhenUsed/>
    <w:qFormat/>
    <w:rsid w:val="0070526B"/>
    <w:pPr>
      <w:keepNext/>
      <w:keepLines/>
      <w:numPr>
        <w:ilvl w:val="7"/>
        <w:numId w:val="2"/>
      </w:numPr>
      <w:spacing w:before="200" w:after="0"/>
      <w:outlineLvl w:val="7"/>
    </w:pPr>
    <w:rPr>
      <w:rFonts w:ascii="Calibri Light" w:eastAsia="SimSun" w:hAnsi="Calibri Light"/>
      <w:color w:val="404040"/>
      <w:szCs w:val="20"/>
    </w:rPr>
  </w:style>
  <w:style w:type="paragraph" w:styleId="Ttulo9">
    <w:name w:val="heading 9"/>
    <w:basedOn w:val="Normal"/>
    <w:next w:val="Normal"/>
    <w:link w:val="Ttulo9Car"/>
    <w:uiPriority w:val="9"/>
    <w:unhideWhenUsed/>
    <w:qFormat/>
    <w:rsid w:val="0070526B"/>
    <w:pPr>
      <w:keepNext/>
      <w:keepLines/>
      <w:numPr>
        <w:ilvl w:val="8"/>
        <w:numId w:val="2"/>
      </w:numPr>
      <w:spacing w:before="200" w:after="0"/>
      <w:outlineLvl w:val="8"/>
    </w:pPr>
    <w:rPr>
      <w:rFonts w:ascii="Calibri Light" w:eastAsia="SimSun" w:hAnsi="Calibri Light"/>
      <w:i/>
      <w:iCs/>
      <w:color w:val="40404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h8,h9,h10,h18"/>
    <w:basedOn w:val="Normal"/>
    <w:link w:val="EncabezadoCar"/>
    <w:uiPriority w:val="99"/>
    <w:unhideWhenUsed/>
    <w:rsid w:val="007D0390"/>
    <w:pPr>
      <w:tabs>
        <w:tab w:val="center" w:pos="4252"/>
        <w:tab w:val="right" w:pos="8504"/>
      </w:tabs>
    </w:pPr>
  </w:style>
  <w:style w:type="character" w:customStyle="1" w:styleId="EncabezadoCar">
    <w:name w:val="Encabezado Car"/>
    <w:aliases w:val="h Car1,h8 Car1,h9 Car1,h10 Car1,h18 Car"/>
    <w:link w:val="Encabezado"/>
    <w:uiPriority w:val="99"/>
    <w:rsid w:val="007D0390"/>
    <w:rPr>
      <w:sz w:val="22"/>
      <w:szCs w:val="22"/>
      <w:lang w:val="es-CO" w:eastAsia="en-US"/>
    </w:rPr>
  </w:style>
  <w:style w:type="paragraph" w:styleId="Piedepgina">
    <w:name w:val="footer"/>
    <w:basedOn w:val="Normal"/>
    <w:link w:val="PiedepginaCar"/>
    <w:uiPriority w:val="99"/>
    <w:unhideWhenUsed/>
    <w:rsid w:val="007D0390"/>
    <w:pPr>
      <w:tabs>
        <w:tab w:val="center" w:pos="4252"/>
        <w:tab w:val="right" w:pos="8504"/>
      </w:tabs>
    </w:pPr>
  </w:style>
  <w:style w:type="character" w:customStyle="1" w:styleId="PiedepginaCar">
    <w:name w:val="Pie de página Car"/>
    <w:link w:val="Piedepgina"/>
    <w:uiPriority w:val="99"/>
    <w:rsid w:val="007D0390"/>
    <w:rPr>
      <w:sz w:val="22"/>
      <w:szCs w:val="22"/>
      <w:lang w:val="es-CO" w:eastAsia="en-US"/>
    </w:rPr>
  </w:style>
  <w:style w:type="paragraph" w:styleId="Textodeglobo">
    <w:name w:val="Balloon Text"/>
    <w:basedOn w:val="Normal"/>
    <w:link w:val="TextodegloboCar"/>
    <w:uiPriority w:val="99"/>
    <w:semiHidden/>
    <w:unhideWhenUsed/>
    <w:rsid w:val="007D0390"/>
    <w:pPr>
      <w:spacing w:after="0" w:line="240" w:lineRule="auto"/>
    </w:pPr>
    <w:rPr>
      <w:rFonts w:ascii="Tahoma" w:hAnsi="Tahoma"/>
      <w:sz w:val="16"/>
      <w:szCs w:val="16"/>
    </w:rPr>
  </w:style>
  <w:style w:type="character" w:customStyle="1" w:styleId="TextodegloboCar">
    <w:name w:val="Texto de globo Car"/>
    <w:link w:val="Textodeglobo"/>
    <w:uiPriority w:val="99"/>
    <w:semiHidden/>
    <w:rsid w:val="007D0390"/>
    <w:rPr>
      <w:rFonts w:ascii="Tahoma" w:hAnsi="Tahoma" w:cs="Tahoma"/>
      <w:sz w:val="16"/>
      <w:szCs w:val="16"/>
      <w:lang w:val="es-CO" w:eastAsia="en-US"/>
    </w:rPr>
  </w:style>
  <w:style w:type="table" w:styleId="Tablaconcuadrcula">
    <w:name w:val="Table Grid"/>
    <w:basedOn w:val="Tablanormal"/>
    <w:rsid w:val="005C0D7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AD1B6F"/>
    <w:pPr>
      <w:widowControl w:val="0"/>
      <w:autoSpaceDE w:val="0"/>
      <w:autoSpaceDN w:val="0"/>
      <w:adjustRightInd w:val="0"/>
      <w:spacing w:after="160" w:line="259" w:lineRule="auto"/>
    </w:pPr>
    <w:rPr>
      <w:rFonts w:ascii="Arial" w:hAnsi="Arial" w:cs="Arial"/>
      <w:color w:val="000000"/>
      <w:sz w:val="24"/>
      <w:szCs w:val="24"/>
    </w:rPr>
  </w:style>
  <w:style w:type="paragraph" w:customStyle="1" w:styleId="CM21">
    <w:name w:val="CM21"/>
    <w:basedOn w:val="Default"/>
    <w:next w:val="Default"/>
    <w:uiPriority w:val="99"/>
    <w:rsid w:val="00AD1B6F"/>
    <w:rPr>
      <w:color w:val="auto"/>
    </w:rPr>
  </w:style>
  <w:style w:type="paragraph" w:customStyle="1" w:styleId="CM3">
    <w:name w:val="CM3"/>
    <w:basedOn w:val="Default"/>
    <w:next w:val="Default"/>
    <w:uiPriority w:val="99"/>
    <w:rsid w:val="00AD1B6F"/>
    <w:pPr>
      <w:spacing w:line="276" w:lineRule="atLeast"/>
    </w:pPr>
    <w:rPr>
      <w:color w:val="auto"/>
    </w:rPr>
  </w:style>
  <w:style w:type="paragraph" w:customStyle="1" w:styleId="CM20">
    <w:name w:val="CM20"/>
    <w:basedOn w:val="Default"/>
    <w:next w:val="Default"/>
    <w:uiPriority w:val="99"/>
    <w:rsid w:val="00A67A50"/>
    <w:rPr>
      <w:color w:val="auto"/>
    </w:rPr>
  </w:style>
  <w:style w:type="character" w:styleId="Nmerodepgina">
    <w:name w:val="page number"/>
    <w:basedOn w:val="Fuentedeprrafopredeter"/>
    <w:rsid w:val="00B92F6B"/>
  </w:style>
  <w:style w:type="character" w:customStyle="1" w:styleId="hCar">
    <w:name w:val="h Car"/>
    <w:aliases w:val="h8 Car,h9 Car,h10 Car,h18 Car Car"/>
    <w:rsid w:val="00B92F6B"/>
    <w:rPr>
      <w:rFonts w:ascii="Arial" w:hAnsi="Arial" w:cs="Arial"/>
      <w:lang w:eastAsia="es-ES"/>
    </w:rPr>
  </w:style>
  <w:style w:type="paragraph" w:styleId="Textoindependiente">
    <w:name w:val="Body Text"/>
    <w:aliases w:val="Subsection Body Text,TextindepT2,bt,body text"/>
    <w:basedOn w:val="Normal"/>
    <w:link w:val="TextoindependienteCar"/>
    <w:uiPriority w:val="1"/>
    <w:qFormat/>
    <w:rsid w:val="005114EA"/>
    <w:pPr>
      <w:spacing w:after="0" w:line="240" w:lineRule="auto"/>
    </w:pPr>
    <w:rPr>
      <w:sz w:val="24"/>
      <w:szCs w:val="24"/>
    </w:rPr>
  </w:style>
  <w:style w:type="character" w:customStyle="1" w:styleId="TextoindependienteCar">
    <w:name w:val="Texto independiente Car"/>
    <w:aliases w:val="Subsection Body Text Car,TextindepT2 Car,bt Car,body text Car"/>
    <w:link w:val="Textoindependiente"/>
    <w:rsid w:val="005114EA"/>
    <w:rPr>
      <w:sz w:val="24"/>
      <w:szCs w:val="24"/>
      <w:lang w:val="es-CO" w:eastAsia="es-CO" w:bidi="ar-SA"/>
    </w:rPr>
  </w:style>
  <w:style w:type="paragraph" w:customStyle="1" w:styleId="CM1">
    <w:name w:val="CM1"/>
    <w:basedOn w:val="Default"/>
    <w:next w:val="Default"/>
    <w:rsid w:val="00B548EC"/>
    <w:pPr>
      <w:spacing w:line="186" w:lineRule="atLeast"/>
    </w:pPr>
    <w:rPr>
      <w:color w:val="auto"/>
    </w:rPr>
  </w:style>
  <w:style w:type="paragraph" w:customStyle="1" w:styleId="MARITZA3">
    <w:name w:val="MARITZA3"/>
    <w:rsid w:val="00BE3ADC"/>
    <w:pPr>
      <w:widowControl w:val="0"/>
      <w:tabs>
        <w:tab w:val="left" w:pos="-720"/>
        <w:tab w:val="left" w:pos="0"/>
      </w:tabs>
      <w:suppressAutoHyphens/>
      <w:spacing w:after="160" w:line="259" w:lineRule="auto"/>
      <w:jc w:val="both"/>
    </w:pPr>
    <w:rPr>
      <w:rFonts w:ascii="Times New Roman" w:hAnsi="Times New Roman"/>
      <w:spacing w:val="-2"/>
      <w:sz w:val="22"/>
      <w:szCs w:val="22"/>
      <w:lang w:val="en-US" w:eastAsia="es-ES"/>
    </w:rPr>
  </w:style>
  <w:style w:type="paragraph" w:styleId="Textoindependiente3">
    <w:name w:val="Body Text 3"/>
    <w:basedOn w:val="Normal"/>
    <w:link w:val="Textoindependiente3Car"/>
    <w:uiPriority w:val="99"/>
    <w:semiHidden/>
    <w:unhideWhenUsed/>
    <w:rsid w:val="005F6F0A"/>
    <w:pPr>
      <w:spacing w:after="120"/>
    </w:pPr>
    <w:rPr>
      <w:sz w:val="16"/>
      <w:szCs w:val="16"/>
      <w:lang w:val="x-none"/>
    </w:rPr>
  </w:style>
  <w:style w:type="character" w:customStyle="1" w:styleId="Textoindependiente3Car">
    <w:name w:val="Texto independiente 3 Car"/>
    <w:link w:val="Textoindependiente3"/>
    <w:uiPriority w:val="99"/>
    <w:semiHidden/>
    <w:rsid w:val="005F6F0A"/>
    <w:rPr>
      <w:sz w:val="16"/>
      <w:szCs w:val="16"/>
      <w:lang w:eastAsia="en-US"/>
    </w:rPr>
  </w:style>
  <w:style w:type="paragraph" w:styleId="Prrafodelista">
    <w:name w:val="List Paragraph"/>
    <w:aliases w:val="List,Bullets,Lista multicolor - Énfasis 11,Lista vistosa - Énfasis 11,titulo 3,Fluvial1,Ha,Normal. Viñetas,HOJA,Bolita,Párrafo de lista4,BOLADEF,Párrafo de lista3,Párrafo de lista21,BOLA,Nivel 1 OS,List Paragraph (numbered (a)),lp1,列出段落"/>
    <w:basedOn w:val="Normal"/>
    <w:link w:val="PrrafodelistaCar"/>
    <w:uiPriority w:val="34"/>
    <w:qFormat/>
    <w:rsid w:val="005F6F0A"/>
    <w:pPr>
      <w:ind w:left="720"/>
      <w:contextualSpacing/>
    </w:pPr>
  </w:style>
  <w:style w:type="paragraph" w:styleId="Sangradetextonormal">
    <w:name w:val="Body Text Indent"/>
    <w:basedOn w:val="Normal"/>
    <w:link w:val="SangradetextonormalCar"/>
    <w:uiPriority w:val="99"/>
    <w:semiHidden/>
    <w:unhideWhenUsed/>
    <w:rsid w:val="005F6F0A"/>
    <w:pPr>
      <w:spacing w:after="120" w:line="240" w:lineRule="auto"/>
      <w:ind w:left="283"/>
    </w:pPr>
    <w:rPr>
      <w:sz w:val="24"/>
      <w:szCs w:val="24"/>
      <w:lang w:val="x-none" w:eastAsia="es-ES"/>
    </w:rPr>
  </w:style>
  <w:style w:type="character" w:customStyle="1" w:styleId="SangradetextonormalCar">
    <w:name w:val="Sangría de texto normal Car"/>
    <w:link w:val="Sangradetextonormal"/>
    <w:uiPriority w:val="99"/>
    <w:semiHidden/>
    <w:rsid w:val="005F6F0A"/>
    <w:rPr>
      <w:rFonts w:ascii="Arial" w:eastAsia="Times New Roman" w:hAnsi="Arial" w:cs="Arial"/>
      <w:sz w:val="24"/>
      <w:szCs w:val="24"/>
      <w:lang w:eastAsia="es-ES"/>
    </w:rPr>
  </w:style>
  <w:style w:type="paragraph" w:customStyle="1" w:styleId="toa">
    <w:name w:val="toa"/>
    <w:basedOn w:val="Normal"/>
    <w:rsid w:val="005F6F0A"/>
    <w:pPr>
      <w:tabs>
        <w:tab w:val="left" w:pos="0"/>
        <w:tab w:val="left" w:pos="9000"/>
        <w:tab w:val="right" w:pos="9360"/>
      </w:tabs>
      <w:suppressAutoHyphens/>
      <w:spacing w:after="0" w:line="240" w:lineRule="auto"/>
    </w:pPr>
    <w:rPr>
      <w:rFonts w:ascii="Times New Roman" w:hAnsi="Times New Roman"/>
      <w:spacing w:val="-2"/>
      <w:sz w:val="24"/>
      <w:szCs w:val="20"/>
      <w:lang w:val="en-US" w:eastAsia="es-ES"/>
    </w:rPr>
  </w:style>
  <w:style w:type="paragraph" w:styleId="Textodebloque">
    <w:name w:val="Block Text"/>
    <w:basedOn w:val="Normal"/>
    <w:rsid w:val="005F6F0A"/>
    <w:pPr>
      <w:widowControl w:val="0"/>
      <w:spacing w:after="0" w:line="240" w:lineRule="auto"/>
      <w:ind w:left="709" w:right="-1" w:hanging="283"/>
    </w:pPr>
    <w:rPr>
      <w:rFonts w:ascii="Times New Roman" w:hAnsi="Times New Roman"/>
      <w:snapToGrid w:val="0"/>
      <w:sz w:val="24"/>
      <w:szCs w:val="20"/>
      <w:lang w:eastAsia="es-ES"/>
    </w:rPr>
  </w:style>
  <w:style w:type="paragraph" w:styleId="Ttulo">
    <w:name w:val="Title"/>
    <w:basedOn w:val="Normal"/>
    <w:next w:val="Normal"/>
    <w:link w:val="TtuloCar"/>
    <w:uiPriority w:val="10"/>
    <w:qFormat/>
    <w:rsid w:val="0070526B"/>
    <w:pPr>
      <w:spacing w:after="0" w:line="240" w:lineRule="auto"/>
      <w:contextualSpacing/>
    </w:pPr>
    <w:rPr>
      <w:rFonts w:ascii="Calibri Light" w:eastAsia="SimSun" w:hAnsi="Calibri Light"/>
      <w:color w:val="000000"/>
      <w:sz w:val="56"/>
      <w:szCs w:val="56"/>
    </w:rPr>
  </w:style>
  <w:style w:type="character" w:customStyle="1" w:styleId="TtuloCar">
    <w:name w:val="Título Car"/>
    <w:link w:val="Ttulo"/>
    <w:uiPriority w:val="10"/>
    <w:rsid w:val="0070526B"/>
    <w:rPr>
      <w:rFonts w:ascii="Calibri Light" w:eastAsia="SimSun" w:hAnsi="Calibri Light" w:cs="Times New Roman"/>
      <w:color w:val="000000"/>
      <w:sz w:val="56"/>
      <w:szCs w:val="56"/>
    </w:rPr>
  </w:style>
  <w:style w:type="character" w:customStyle="1" w:styleId="NEGRILLA">
    <w:name w:val="NEGRILLA"/>
    <w:uiPriority w:val="99"/>
    <w:rsid w:val="001F4D9A"/>
    <w:rPr>
      <w:b/>
      <w:bCs/>
      <w:color w:val="000000"/>
      <w:sz w:val="24"/>
      <w:szCs w:val="24"/>
    </w:rPr>
  </w:style>
  <w:style w:type="paragraph" w:customStyle="1" w:styleId="CENTRADO">
    <w:name w:val="CENTRADO"/>
    <w:basedOn w:val="Normal"/>
    <w:next w:val="Normal"/>
    <w:uiPriority w:val="99"/>
    <w:rsid w:val="001F4D9A"/>
    <w:pPr>
      <w:widowControl w:val="0"/>
      <w:autoSpaceDE w:val="0"/>
      <w:autoSpaceDN w:val="0"/>
      <w:adjustRightInd w:val="0"/>
      <w:spacing w:after="0" w:line="240" w:lineRule="auto"/>
    </w:pPr>
    <w:rPr>
      <w:rFonts w:ascii="Times New Roman" w:hAnsi="Times New Roman"/>
      <w:sz w:val="24"/>
      <w:szCs w:val="24"/>
      <w:lang w:val="es-ES" w:eastAsia="es-ES"/>
    </w:rPr>
  </w:style>
  <w:style w:type="character" w:customStyle="1" w:styleId="TextocomentarioCar">
    <w:name w:val="Texto comentario Car"/>
    <w:link w:val="Textocomentario"/>
    <w:uiPriority w:val="99"/>
    <w:rsid w:val="004B18DF"/>
    <w:rPr>
      <w:rFonts w:ascii="Arial" w:eastAsia="Times New Roman" w:hAnsi="Arial"/>
    </w:rPr>
  </w:style>
  <w:style w:type="paragraph" w:styleId="Textocomentario">
    <w:name w:val="annotation text"/>
    <w:basedOn w:val="Normal"/>
    <w:link w:val="TextocomentarioCar"/>
    <w:uiPriority w:val="99"/>
    <w:rsid w:val="004B18DF"/>
    <w:pPr>
      <w:spacing w:before="120" w:after="240" w:line="240" w:lineRule="auto"/>
    </w:pPr>
    <w:rPr>
      <w:szCs w:val="20"/>
      <w:lang w:val="x-none" w:eastAsia="x-none"/>
    </w:rPr>
  </w:style>
  <w:style w:type="character" w:customStyle="1" w:styleId="TextocomentarioCar1">
    <w:name w:val="Texto comentario Car1"/>
    <w:uiPriority w:val="99"/>
    <w:semiHidden/>
    <w:rsid w:val="004B18DF"/>
    <w:rPr>
      <w:lang w:val="es-CO" w:eastAsia="en-US"/>
    </w:rPr>
  </w:style>
  <w:style w:type="character" w:styleId="Refdecomentario">
    <w:name w:val="annotation reference"/>
    <w:uiPriority w:val="99"/>
    <w:rsid w:val="004B18DF"/>
    <w:rPr>
      <w:sz w:val="16"/>
      <w:szCs w:val="16"/>
    </w:rPr>
  </w:style>
  <w:style w:type="character" w:customStyle="1" w:styleId="PrrafodelistaCar">
    <w:name w:val="Párrafo de lista Car"/>
    <w:aliases w:val="List Car,Bullets Car,Lista multicolor - Énfasis 11 Car,Lista vistosa - Énfasis 11 Car,titulo 3 Car,Fluvial1 Car,Ha Car,Normal. Viñetas Car,HOJA Car,Bolita Car,Párrafo de lista4 Car,BOLADEF Car,Párrafo de lista3 Car,BOLA Car,lp1 Car"/>
    <w:link w:val="Prrafodelista"/>
    <w:uiPriority w:val="34"/>
    <w:qFormat/>
    <w:locked/>
    <w:rsid w:val="003A3C63"/>
  </w:style>
  <w:style w:type="character" w:customStyle="1" w:styleId="Ttulo1Car">
    <w:name w:val="Título 1 Car"/>
    <w:aliases w:val="Edgar 1 Car,1 ghost Car,g Car,Nombre Proyecto Car,Título 1-BCN Car,MT1 Car,Título 1_rosado Car,1. Título 1 Car,Título 11 Car,Título 1A Car,Titre principal (1) Car,T1 Car,CAPITULO 1 Car,título 1 Car,(TITULO) Car,h1 Car,II+ Car,I Car,h11 Car"/>
    <w:link w:val="Ttulo1"/>
    <w:uiPriority w:val="9"/>
    <w:rsid w:val="0070526B"/>
    <w:rPr>
      <w:rFonts w:ascii="Calibri Light" w:eastAsia="SimSun" w:hAnsi="Calibri Light"/>
      <w:b/>
      <w:bCs/>
      <w:smallCaps/>
      <w:color w:val="000000"/>
      <w:sz w:val="36"/>
      <w:szCs w:val="36"/>
    </w:rPr>
  </w:style>
  <w:style w:type="character" w:customStyle="1" w:styleId="Ttulo3Car">
    <w:name w:val="Título 3 Car"/>
    <w:aliases w:val="moloko Car,Edgar 3 Car,1.1.1Título 3 Car,Título 3-BCN Car,3 bullet Car,2 Car,MT3 Car,H3 Car,Título 3_verde Car,Título 3A Car,Sous-titre (3) Car"/>
    <w:link w:val="Ttulo3"/>
    <w:uiPriority w:val="9"/>
    <w:rsid w:val="0070526B"/>
    <w:rPr>
      <w:rFonts w:ascii="Calibri Light" w:eastAsia="SimSun" w:hAnsi="Calibri Light"/>
      <w:b/>
      <w:bCs/>
      <w:color w:val="000000"/>
      <w:szCs w:val="22"/>
    </w:rPr>
  </w:style>
  <w:style w:type="character" w:customStyle="1" w:styleId="Ttulo4Car">
    <w:name w:val="Título 4 Car"/>
    <w:aliases w:val="Edgar 4 Car,Título 4 - BCN Car,4 dash Car,d Car,3 Car"/>
    <w:link w:val="Ttulo4"/>
    <w:uiPriority w:val="9"/>
    <w:rsid w:val="0070526B"/>
    <w:rPr>
      <w:rFonts w:ascii="Calibri Light" w:eastAsia="SimSun" w:hAnsi="Calibri Light"/>
      <w:b/>
      <w:bCs/>
      <w:i/>
      <w:iCs/>
      <w:color w:val="000000"/>
      <w:szCs w:val="22"/>
    </w:rPr>
  </w:style>
  <w:style w:type="character" w:customStyle="1" w:styleId="Ttulo5Car">
    <w:name w:val="Título 5 Car"/>
    <w:aliases w:val="Título 5-BCN Car"/>
    <w:link w:val="Ttulo5"/>
    <w:uiPriority w:val="9"/>
    <w:rsid w:val="0070526B"/>
    <w:rPr>
      <w:rFonts w:ascii="Calibri Light" w:eastAsia="SimSun" w:hAnsi="Calibri Light"/>
      <w:color w:val="323E4F"/>
      <w:szCs w:val="22"/>
    </w:rPr>
  </w:style>
  <w:style w:type="character" w:customStyle="1" w:styleId="Ttulo6Car">
    <w:name w:val="Título 6 Car"/>
    <w:aliases w:val="Título 6-BCN Car"/>
    <w:link w:val="Ttulo6"/>
    <w:uiPriority w:val="9"/>
    <w:rsid w:val="0070526B"/>
    <w:rPr>
      <w:rFonts w:ascii="Calibri Light" w:eastAsia="SimSun" w:hAnsi="Calibri Light"/>
      <w:i/>
      <w:iCs/>
      <w:color w:val="323E4F"/>
      <w:szCs w:val="22"/>
    </w:rPr>
  </w:style>
  <w:style w:type="character" w:customStyle="1" w:styleId="Ttulo7Car">
    <w:name w:val="Título 7 Car"/>
    <w:link w:val="Ttulo7"/>
    <w:uiPriority w:val="9"/>
    <w:rsid w:val="0070526B"/>
    <w:rPr>
      <w:rFonts w:ascii="Calibri Light" w:eastAsia="SimSun" w:hAnsi="Calibri Light"/>
      <w:i/>
      <w:iCs/>
      <w:color w:val="404040"/>
      <w:szCs w:val="22"/>
    </w:rPr>
  </w:style>
  <w:style w:type="character" w:customStyle="1" w:styleId="Ttulo8Car">
    <w:name w:val="Título 8 Car"/>
    <w:link w:val="Ttulo8"/>
    <w:uiPriority w:val="9"/>
    <w:rsid w:val="0070526B"/>
    <w:rPr>
      <w:rFonts w:ascii="Calibri Light" w:eastAsia="SimSun" w:hAnsi="Calibri Light"/>
      <w:color w:val="404040"/>
    </w:rPr>
  </w:style>
  <w:style w:type="character" w:customStyle="1" w:styleId="Ttulo9Car">
    <w:name w:val="Título 9 Car"/>
    <w:link w:val="Ttulo9"/>
    <w:uiPriority w:val="9"/>
    <w:rsid w:val="0070526B"/>
    <w:rPr>
      <w:rFonts w:ascii="Calibri Light" w:eastAsia="SimSun" w:hAnsi="Calibri Light"/>
      <w:i/>
      <w:iCs/>
      <w:color w:val="404040"/>
    </w:rPr>
  </w:style>
  <w:style w:type="paragraph" w:customStyle="1" w:styleId="Textoindependiente21">
    <w:name w:val="Texto independiente 21"/>
    <w:basedOn w:val="Normal"/>
    <w:rsid w:val="005B7DDE"/>
    <w:pPr>
      <w:widowControl w:val="0"/>
      <w:spacing w:after="0" w:line="240" w:lineRule="auto"/>
    </w:pPr>
    <w:rPr>
      <w:szCs w:val="20"/>
      <w:lang w:eastAsia="es-ES"/>
    </w:rPr>
  </w:style>
  <w:style w:type="paragraph" w:customStyle="1" w:styleId="Estilo1">
    <w:name w:val="Estilo1"/>
    <w:basedOn w:val="Ttulo2"/>
    <w:rsid w:val="005B7DDE"/>
    <w:pPr>
      <w:widowControl w:val="0"/>
      <w:numPr>
        <w:numId w:val="1"/>
      </w:numPr>
      <w:tabs>
        <w:tab w:val="num" w:pos="360"/>
        <w:tab w:val="num" w:pos="1440"/>
      </w:tabs>
      <w:spacing w:before="0" w:after="240" w:line="240" w:lineRule="auto"/>
      <w:ind w:left="0" w:firstLine="0"/>
    </w:pPr>
    <w:rPr>
      <w:rFonts w:ascii="Arial Narrow" w:eastAsia="Times New Roman" w:hAnsi="Arial Narrow"/>
      <w:bCs w:val="0"/>
      <w:i/>
      <w:iCs/>
      <w:sz w:val="24"/>
      <w:szCs w:val="24"/>
      <w:u w:val="single"/>
      <w:lang w:eastAsia="es-ES"/>
    </w:rPr>
  </w:style>
  <w:style w:type="character" w:customStyle="1" w:styleId="Ttulo2Car">
    <w:name w:val="Título 2 Car"/>
    <w:aliases w:val="Título Segundo nivel Car"/>
    <w:link w:val="Ttulo2"/>
    <w:uiPriority w:val="9"/>
    <w:rsid w:val="0070526B"/>
    <w:rPr>
      <w:rFonts w:ascii="Calibri Light" w:eastAsia="SimSun" w:hAnsi="Calibri Light"/>
      <w:b/>
      <w:bCs/>
      <w:smallCaps/>
      <w:color w:val="000000"/>
      <w:sz w:val="28"/>
      <w:szCs w:val="28"/>
    </w:rPr>
  </w:style>
  <w:style w:type="paragraph" w:styleId="NormalWeb">
    <w:name w:val="Normal (Web)"/>
    <w:basedOn w:val="Normal"/>
    <w:uiPriority w:val="99"/>
    <w:semiHidden/>
    <w:unhideWhenUsed/>
    <w:rsid w:val="00E41D84"/>
    <w:pPr>
      <w:spacing w:before="100" w:beforeAutospacing="1" w:after="100" w:afterAutospacing="1" w:line="240" w:lineRule="auto"/>
    </w:pPr>
    <w:rPr>
      <w:rFonts w:ascii="Times New Roman" w:hAnsi="Times New Roman"/>
      <w:sz w:val="24"/>
      <w:szCs w:val="24"/>
    </w:rPr>
  </w:style>
  <w:style w:type="paragraph" w:customStyle="1" w:styleId="InviasNormal">
    <w:name w:val="Invias Normal"/>
    <w:basedOn w:val="Normal"/>
    <w:link w:val="InviasNormalCar"/>
    <w:qFormat/>
    <w:rsid w:val="0027037B"/>
    <w:pPr>
      <w:tabs>
        <w:tab w:val="left" w:pos="-142"/>
      </w:tabs>
      <w:autoSpaceDE w:val="0"/>
      <w:autoSpaceDN w:val="0"/>
      <w:adjustRightInd w:val="0"/>
      <w:spacing w:before="120" w:after="240" w:line="240" w:lineRule="auto"/>
    </w:pPr>
    <w:rPr>
      <w:szCs w:val="24"/>
      <w:lang w:val="x-none" w:eastAsia="es-ES"/>
    </w:rPr>
  </w:style>
  <w:style w:type="character" w:customStyle="1" w:styleId="InviasNormalCar">
    <w:name w:val="Invias Normal Car"/>
    <w:link w:val="InviasNormal"/>
    <w:rsid w:val="0027037B"/>
    <w:rPr>
      <w:rFonts w:ascii="Arial" w:eastAsia="Times New Roman" w:hAnsi="Arial"/>
      <w:sz w:val="22"/>
      <w:szCs w:val="24"/>
      <w:lang w:val="x-none" w:eastAsia="es-ES"/>
    </w:rPr>
  </w:style>
  <w:style w:type="paragraph" w:styleId="Revisin">
    <w:name w:val="Revision"/>
    <w:hidden/>
    <w:uiPriority w:val="99"/>
    <w:semiHidden/>
    <w:rsid w:val="00F54883"/>
    <w:pPr>
      <w:spacing w:after="160" w:line="259" w:lineRule="auto"/>
    </w:pPr>
    <w:rPr>
      <w:sz w:val="22"/>
      <w:szCs w:val="22"/>
      <w:lang w:eastAsia="en-US"/>
    </w:rPr>
  </w:style>
  <w:style w:type="paragraph" w:styleId="Asuntodelcomentario">
    <w:name w:val="annotation subject"/>
    <w:basedOn w:val="Textocomentario"/>
    <w:next w:val="Textocomentario"/>
    <w:link w:val="AsuntodelcomentarioCar"/>
    <w:uiPriority w:val="99"/>
    <w:semiHidden/>
    <w:unhideWhenUsed/>
    <w:rsid w:val="00C23FC8"/>
    <w:pPr>
      <w:spacing w:before="0" w:after="200" w:line="276" w:lineRule="auto"/>
      <w:jc w:val="left"/>
    </w:pPr>
    <w:rPr>
      <w:rFonts w:ascii="Calibri" w:eastAsia="Calibri" w:hAnsi="Calibri"/>
      <w:b/>
      <w:bCs/>
      <w:lang w:val="es-CO" w:eastAsia="en-US"/>
    </w:rPr>
  </w:style>
  <w:style w:type="character" w:customStyle="1" w:styleId="AsuntodelcomentarioCar">
    <w:name w:val="Asunto del comentario Car"/>
    <w:link w:val="Asuntodelcomentario"/>
    <w:uiPriority w:val="99"/>
    <w:semiHidden/>
    <w:rsid w:val="00C23FC8"/>
    <w:rPr>
      <w:rFonts w:ascii="Arial" w:eastAsia="Times New Roman" w:hAnsi="Arial"/>
      <w:b/>
      <w:bCs/>
      <w:lang w:eastAsia="en-US"/>
    </w:rPr>
  </w:style>
  <w:style w:type="paragraph" w:styleId="Descripcin">
    <w:name w:val="caption"/>
    <w:basedOn w:val="Normal"/>
    <w:next w:val="Normal"/>
    <w:uiPriority w:val="35"/>
    <w:unhideWhenUsed/>
    <w:qFormat/>
    <w:rsid w:val="0070526B"/>
    <w:pPr>
      <w:spacing w:after="200" w:line="240" w:lineRule="auto"/>
    </w:pPr>
    <w:rPr>
      <w:i/>
      <w:iCs/>
      <w:color w:val="44546A"/>
      <w:sz w:val="18"/>
      <w:szCs w:val="18"/>
    </w:rPr>
  </w:style>
  <w:style w:type="paragraph" w:styleId="Subttulo">
    <w:name w:val="Subtitle"/>
    <w:basedOn w:val="Normal"/>
    <w:next w:val="Normal"/>
    <w:link w:val="SubttuloCar"/>
    <w:uiPriority w:val="11"/>
    <w:qFormat/>
    <w:rsid w:val="0070526B"/>
    <w:pPr>
      <w:numPr>
        <w:ilvl w:val="1"/>
      </w:numPr>
    </w:pPr>
    <w:rPr>
      <w:color w:val="5A5A5A"/>
      <w:spacing w:val="10"/>
    </w:rPr>
  </w:style>
  <w:style w:type="character" w:customStyle="1" w:styleId="SubttuloCar">
    <w:name w:val="Subtítulo Car"/>
    <w:link w:val="Subttulo"/>
    <w:uiPriority w:val="11"/>
    <w:rsid w:val="0070526B"/>
    <w:rPr>
      <w:color w:val="5A5A5A"/>
      <w:spacing w:val="10"/>
    </w:rPr>
  </w:style>
  <w:style w:type="character" w:styleId="Textoennegrita">
    <w:name w:val="Strong"/>
    <w:uiPriority w:val="22"/>
    <w:qFormat/>
    <w:rsid w:val="0070526B"/>
    <w:rPr>
      <w:b/>
      <w:bCs/>
      <w:color w:val="000000"/>
    </w:rPr>
  </w:style>
  <w:style w:type="character" w:styleId="nfasis">
    <w:name w:val="Emphasis"/>
    <w:uiPriority w:val="20"/>
    <w:qFormat/>
    <w:rsid w:val="0070526B"/>
    <w:rPr>
      <w:i/>
      <w:iCs/>
      <w:color w:val="auto"/>
    </w:rPr>
  </w:style>
  <w:style w:type="paragraph" w:styleId="Sinespaciado">
    <w:name w:val="No Spacing"/>
    <w:aliases w:val="Negrilla-COLVISTA"/>
    <w:link w:val="SinespaciadoCar"/>
    <w:uiPriority w:val="1"/>
    <w:qFormat/>
    <w:rsid w:val="0070526B"/>
    <w:rPr>
      <w:sz w:val="22"/>
      <w:szCs w:val="22"/>
    </w:rPr>
  </w:style>
  <w:style w:type="paragraph" w:styleId="Cita">
    <w:name w:val="Quote"/>
    <w:basedOn w:val="Normal"/>
    <w:next w:val="Normal"/>
    <w:link w:val="CitaCar"/>
    <w:uiPriority w:val="29"/>
    <w:qFormat/>
    <w:rsid w:val="0070526B"/>
    <w:pPr>
      <w:spacing w:before="160"/>
      <w:ind w:left="720" w:right="720"/>
    </w:pPr>
    <w:rPr>
      <w:i/>
      <w:iCs/>
      <w:color w:val="000000"/>
    </w:rPr>
  </w:style>
  <w:style w:type="character" w:customStyle="1" w:styleId="CitaCar">
    <w:name w:val="Cita Car"/>
    <w:link w:val="Cita"/>
    <w:uiPriority w:val="29"/>
    <w:rsid w:val="0070526B"/>
    <w:rPr>
      <w:i/>
      <w:iCs/>
      <w:color w:val="000000"/>
    </w:rPr>
  </w:style>
  <w:style w:type="paragraph" w:styleId="Citadestacada">
    <w:name w:val="Intense Quote"/>
    <w:basedOn w:val="Normal"/>
    <w:next w:val="Normal"/>
    <w:link w:val="CitadestacadaCar"/>
    <w:uiPriority w:val="30"/>
    <w:qFormat/>
    <w:rsid w:val="0070526B"/>
    <w:pPr>
      <w:pBdr>
        <w:top w:val="single" w:sz="24" w:space="1" w:color="F2F2F2"/>
        <w:bottom w:val="single" w:sz="24" w:space="1" w:color="F2F2F2"/>
      </w:pBdr>
      <w:shd w:val="clear" w:color="auto" w:fill="F2F2F2"/>
      <w:spacing w:before="240" w:after="240"/>
      <w:ind w:left="936" w:right="936"/>
      <w:jc w:val="center"/>
    </w:pPr>
    <w:rPr>
      <w:color w:val="000000"/>
    </w:rPr>
  </w:style>
  <w:style w:type="character" w:customStyle="1" w:styleId="CitadestacadaCar">
    <w:name w:val="Cita destacada Car"/>
    <w:link w:val="Citadestacada"/>
    <w:uiPriority w:val="30"/>
    <w:rsid w:val="0070526B"/>
    <w:rPr>
      <w:color w:val="000000"/>
      <w:shd w:val="clear" w:color="auto" w:fill="F2F2F2"/>
    </w:rPr>
  </w:style>
  <w:style w:type="character" w:styleId="nfasissutil">
    <w:name w:val="Subtle Emphasis"/>
    <w:uiPriority w:val="19"/>
    <w:qFormat/>
    <w:rsid w:val="0070526B"/>
    <w:rPr>
      <w:i/>
      <w:iCs/>
      <w:color w:val="404040"/>
    </w:rPr>
  </w:style>
  <w:style w:type="character" w:styleId="nfasisintenso">
    <w:name w:val="Intense Emphasis"/>
    <w:uiPriority w:val="21"/>
    <w:qFormat/>
    <w:rsid w:val="0070526B"/>
    <w:rPr>
      <w:b/>
      <w:bCs/>
      <w:i/>
      <w:iCs/>
      <w:caps/>
    </w:rPr>
  </w:style>
  <w:style w:type="character" w:styleId="Referenciasutil">
    <w:name w:val="Subtle Reference"/>
    <w:uiPriority w:val="31"/>
    <w:qFormat/>
    <w:rsid w:val="0070526B"/>
    <w:rPr>
      <w:smallCaps/>
      <w:color w:val="404040"/>
      <w:u w:val="single" w:color="7F7F7F"/>
    </w:rPr>
  </w:style>
  <w:style w:type="character" w:styleId="Referenciaintensa">
    <w:name w:val="Intense Reference"/>
    <w:uiPriority w:val="32"/>
    <w:qFormat/>
    <w:rsid w:val="0070526B"/>
    <w:rPr>
      <w:b/>
      <w:bCs/>
      <w:smallCaps/>
      <w:u w:val="single"/>
    </w:rPr>
  </w:style>
  <w:style w:type="character" w:styleId="Ttulodellibro">
    <w:name w:val="Book Title"/>
    <w:uiPriority w:val="33"/>
    <w:qFormat/>
    <w:rsid w:val="0070526B"/>
    <w:rPr>
      <w:b w:val="0"/>
      <w:bCs w:val="0"/>
      <w:smallCaps/>
      <w:spacing w:val="5"/>
    </w:rPr>
  </w:style>
  <w:style w:type="paragraph" w:styleId="TtuloTDC">
    <w:name w:val="TOC Heading"/>
    <w:basedOn w:val="Ttulo1"/>
    <w:next w:val="Normal"/>
    <w:uiPriority w:val="39"/>
    <w:semiHidden/>
    <w:unhideWhenUsed/>
    <w:qFormat/>
    <w:rsid w:val="0070526B"/>
    <w:pPr>
      <w:outlineLvl w:val="9"/>
    </w:pPr>
  </w:style>
  <w:style w:type="table" w:customStyle="1" w:styleId="Cuadrculadetablaclara1">
    <w:name w:val="Cuadrícula de tabla clara1"/>
    <w:basedOn w:val="Tablanormal"/>
    <w:next w:val="Tablaconcuadrculaclara"/>
    <w:uiPriority w:val="99"/>
    <w:rsid w:val="00CF4B91"/>
    <w:rPr>
      <w:rFonts w:eastAsia="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aconcuadrculaclara">
    <w:name w:val="Grid Table Light"/>
    <w:basedOn w:val="Tablanormal"/>
    <w:uiPriority w:val="40"/>
    <w:rsid w:val="00CF4B9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Normal">
    <w:name w:val="Table Normal"/>
    <w:uiPriority w:val="2"/>
    <w:semiHidden/>
    <w:unhideWhenUsed/>
    <w:qFormat/>
    <w:rsid w:val="00D50892"/>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50892"/>
    <w:pPr>
      <w:widowControl w:val="0"/>
      <w:autoSpaceDE w:val="0"/>
      <w:autoSpaceDN w:val="0"/>
      <w:spacing w:after="0" w:line="240" w:lineRule="auto"/>
      <w:jc w:val="left"/>
    </w:pPr>
    <w:rPr>
      <w:rFonts w:ascii="Calibri" w:eastAsia="Calibri" w:hAnsi="Calibri" w:cs="Calibri"/>
      <w:sz w:val="22"/>
      <w:lang w:val="es-ES" w:eastAsia="en-US"/>
    </w:rPr>
  </w:style>
  <w:style w:type="character" w:styleId="Hipervnculo">
    <w:name w:val="Hyperlink"/>
    <w:basedOn w:val="Fuentedeprrafopredeter"/>
    <w:uiPriority w:val="99"/>
    <w:unhideWhenUsed/>
    <w:rsid w:val="00954733"/>
    <w:rPr>
      <w:color w:val="0563C1" w:themeColor="hyperlink"/>
      <w:u w:val="single"/>
    </w:rPr>
  </w:style>
  <w:style w:type="character" w:styleId="Mencinsinresolver">
    <w:name w:val="Unresolved Mention"/>
    <w:basedOn w:val="Fuentedeprrafopredeter"/>
    <w:uiPriority w:val="99"/>
    <w:semiHidden/>
    <w:unhideWhenUsed/>
    <w:rsid w:val="00954733"/>
    <w:rPr>
      <w:color w:val="605E5C"/>
      <w:shd w:val="clear" w:color="auto" w:fill="E1DFDD"/>
    </w:rPr>
  </w:style>
  <w:style w:type="character" w:styleId="Hipervnculovisitado">
    <w:name w:val="FollowedHyperlink"/>
    <w:basedOn w:val="Fuentedeprrafopredeter"/>
    <w:uiPriority w:val="99"/>
    <w:semiHidden/>
    <w:unhideWhenUsed/>
    <w:rsid w:val="00954733"/>
    <w:rPr>
      <w:color w:val="954F72"/>
      <w:u w:val="single"/>
    </w:rPr>
  </w:style>
  <w:style w:type="paragraph" w:customStyle="1" w:styleId="msonormal0">
    <w:name w:val="msonormal"/>
    <w:basedOn w:val="Normal"/>
    <w:rsid w:val="00954733"/>
    <w:pPr>
      <w:spacing w:before="100" w:beforeAutospacing="1" w:after="100" w:afterAutospacing="1" w:line="240" w:lineRule="auto"/>
      <w:jc w:val="left"/>
    </w:pPr>
    <w:rPr>
      <w:rFonts w:ascii="Times New Roman" w:hAnsi="Times New Roman"/>
      <w:sz w:val="24"/>
      <w:szCs w:val="24"/>
      <w:lang w:val="es-ES" w:eastAsia="zh-CN"/>
    </w:rPr>
  </w:style>
  <w:style w:type="paragraph" w:customStyle="1" w:styleId="font0">
    <w:name w:val="font0"/>
    <w:basedOn w:val="Normal"/>
    <w:rsid w:val="00954733"/>
    <w:pPr>
      <w:spacing w:before="100" w:beforeAutospacing="1" w:after="100" w:afterAutospacing="1" w:line="240" w:lineRule="auto"/>
      <w:jc w:val="left"/>
    </w:pPr>
    <w:rPr>
      <w:rFonts w:ascii="Calibri" w:hAnsi="Calibri" w:cs="Calibri"/>
      <w:color w:val="000000"/>
      <w:sz w:val="22"/>
      <w:lang w:val="es-ES" w:eastAsia="zh-CN"/>
    </w:rPr>
  </w:style>
  <w:style w:type="paragraph" w:customStyle="1" w:styleId="font5">
    <w:name w:val="font5"/>
    <w:basedOn w:val="Normal"/>
    <w:rsid w:val="00954733"/>
    <w:pPr>
      <w:spacing w:before="100" w:beforeAutospacing="1" w:after="100" w:afterAutospacing="1" w:line="240" w:lineRule="auto"/>
      <w:jc w:val="left"/>
    </w:pPr>
    <w:rPr>
      <w:rFonts w:ascii="Calibri" w:hAnsi="Calibri" w:cs="Calibri"/>
      <w:color w:val="000000"/>
      <w:sz w:val="24"/>
      <w:szCs w:val="24"/>
      <w:lang w:val="es-ES" w:eastAsia="zh-CN"/>
    </w:rPr>
  </w:style>
  <w:style w:type="paragraph" w:customStyle="1" w:styleId="xl82">
    <w:name w:val="xl82"/>
    <w:basedOn w:val="Normal"/>
    <w:rsid w:val="009547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cs="Arial"/>
      <w:b/>
      <w:bCs/>
      <w:sz w:val="24"/>
      <w:szCs w:val="24"/>
      <w:lang w:val="es-ES" w:eastAsia="zh-CN"/>
    </w:rPr>
  </w:style>
  <w:style w:type="paragraph" w:customStyle="1" w:styleId="xl83">
    <w:name w:val="xl83"/>
    <w:basedOn w:val="Normal"/>
    <w:rsid w:val="009547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cs="Arial"/>
      <w:b/>
      <w:bCs/>
      <w:sz w:val="24"/>
      <w:szCs w:val="24"/>
      <w:lang w:val="es-ES" w:eastAsia="zh-CN"/>
    </w:rPr>
  </w:style>
  <w:style w:type="paragraph" w:customStyle="1" w:styleId="xl84">
    <w:name w:val="xl84"/>
    <w:basedOn w:val="Normal"/>
    <w:rsid w:val="00954733"/>
    <w:pPr>
      <w:shd w:val="clear" w:color="000000" w:fill="FFFFFF"/>
      <w:spacing w:before="100" w:beforeAutospacing="1" w:after="100" w:afterAutospacing="1" w:line="240" w:lineRule="auto"/>
      <w:jc w:val="left"/>
      <w:textAlignment w:val="center"/>
    </w:pPr>
    <w:rPr>
      <w:rFonts w:ascii="Times New Roman" w:hAnsi="Times New Roman"/>
      <w:sz w:val="24"/>
      <w:szCs w:val="24"/>
      <w:lang w:val="es-ES" w:eastAsia="zh-CN"/>
    </w:rPr>
  </w:style>
  <w:style w:type="paragraph" w:customStyle="1" w:styleId="xl85">
    <w:name w:val="xl85"/>
    <w:basedOn w:val="Normal"/>
    <w:rsid w:val="00954733"/>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40" w:lineRule="auto"/>
      <w:jc w:val="center"/>
      <w:textAlignment w:val="center"/>
    </w:pPr>
    <w:rPr>
      <w:rFonts w:ascii="Times New Roman" w:hAnsi="Times New Roman"/>
      <w:b/>
      <w:bCs/>
      <w:sz w:val="24"/>
      <w:szCs w:val="24"/>
      <w:lang w:val="es-ES" w:eastAsia="zh-CN"/>
    </w:rPr>
  </w:style>
  <w:style w:type="paragraph" w:customStyle="1" w:styleId="xl86">
    <w:name w:val="xl86"/>
    <w:basedOn w:val="Normal"/>
    <w:rsid w:val="00954733"/>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40" w:lineRule="auto"/>
      <w:jc w:val="center"/>
      <w:textAlignment w:val="center"/>
    </w:pPr>
    <w:rPr>
      <w:rFonts w:ascii="Times New Roman" w:hAnsi="Times New Roman"/>
      <w:sz w:val="24"/>
      <w:szCs w:val="24"/>
      <w:lang w:val="es-ES" w:eastAsia="zh-CN"/>
    </w:rPr>
  </w:style>
  <w:style w:type="paragraph" w:customStyle="1" w:styleId="xl87">
    <w:name w:val="xl87"/>
    <w:basedOn w:val="Normal"/>
    <w:rsid w:val="009547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hAnsi="Times New Roman"/>
      <w:sz w:val="24"/>
      <w:szCs w:val="24"/>
      <w:lang w:val="es-ES" w:eastAsia="zh-CN"/>
    </w:rPr>
  </w:style>
  <w:style w:type="paragraph" w:customStyle="1" w:styleId="xl88">
    <w:name w:val="xl88"/>
    <w:basedOn w:val="Normal"/>
    <w:rsid w:val="009547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val="es-ES" w:eastAsia="zh-CN"/>
    </w:rPr>
  </w:style>
  <w:style w:type="paragraph" w:customStyle="1" w:styleId="xl89">
    <w:name w:val="xl89"/>
    <w:basedOn w:val="Normal"/>
    <w:rsid w:val="009547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hAnsi="Times New Roman"/>
      <w:sz w:val="24"/>
      <w:szCs w:val="24"/>
      <w:lang w:val="es-ES" w:eastAsia="zh-CN"/>
    </w:rPr>
  </w:style>
  <w:style w:type="paragraph" w:customStyle="1" w:styleId="xl90">
    <w:name w:val="xl90"/>
    <w:basedOn w:val="Normal"/>
    <w:rsid w:val="009547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val="es-ES" w:eastAsia="zh-CN"/>
    </w:rPr>
  </w:style>
  <w:style w:type="paragraph" w:customStyle="1" w:styleId="xl91">
    <w:name w:val="xl91"/>
    <w:basedOn w:val="Normal"/>
    <w:rsid w:val="009547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val="es-ES" w:eastAsia="zh-CN"/>
    </w:rPr>
  </w:style>
  <w:style w:type="paragraph" w:customStyle="1" w:styleId="xl92">
    <w:name w:val="xl92"/>
    <w:basedOn w:val="Normal"/>
    <w:rsid w:val="009547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hAnsi="Times New Roman"/>
      <w:sz w:val="24"/>
      <w:szCs w:val="24"/>
      <w:lang w:val="es-ES" w:eastAsia="zh-CN"/>
    </w:rPr>
  </w:style>
  <w:style w:type="paragraph" w:customStyle="1" w:styleId="xl93">
    <w:name w:val="xl93"/>
    <w:basedOn w:val="Normal"/>
    <w:rsid w:val="009547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hAnsi="Times New Roman"/>
      <w:sz w:val="24"/>
      <w:szCs w:val="24"/>
      <w:lang w:val="es-ES" w:eastAsia="zh-CN"/>
    </w:rPr>
  </w:style>
  <w:style w:type="paragraph" w:customStyle="1" w:styleId="xl94">
    <w:name w:val="xl94"/>
    <w:basedOn w:val="Normal"/>
    <w:rsid w:val="009547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val="es-ES" w:eastAsia="zh-CN"/>
    </w:rPr>
  </w:style>
  <w:style w:type="paragraph" w:customStyle="1" w:styleId="xl95">
    <w:name w:val="xl95"/>
    <w:basedOn w:val="Normal"/>
    <w:rsid w:val="009547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hAnsi="Times New Roman"/>
      <w:sz w:val="24"/>
      <w:szCs w:val="24"/>
      <w:lang w:val="es-ES" w:eastAsia="zh-CN"/>
    </w:rPr>
  </w:style>
  <w:style w:type="paragraph" w:customStyle="1" w:styleId="xl96">
    <w:name w:val="xl96"/>
    <w:basedOn w:val="Normal"/>
    <w:rsid w:val="009547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val="es-ES" w:eastAsia="zh-CN"/>
    </w:rPr>
  </w:style>
  <w:style w:type="paragraph" w:customStyle="1" w:styleId="xl97">
    <w:name w:val="xl97"/>
    <w:basedOn w:val="Normal"/>
    <w:rsid w:val="009547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val="es-ES" w:eastAsia="zh-CN"/>
    </w:rPr>
  </w:style>
  <w:style w:type="paragraph" w:customStyle="1" w:styleId="xl98">
    <w:name w:val="xl98"/>
    <w:basedOn w:val="Normal"/>
    <w:rsid w:val="009547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w:hAnsi="Times New Roman"/>
      <w:sz w:val="24"/>
      <w:szCs w:val="24"/>
      <w:lang w:val="es-ES" w:eastAsia="zh-CN"/>
    </w:rPr>
  </w:style>
  <w:style w:type="paragraph" w:customStyle="1" w:styleId="xl99">
    <w:name w:val="xl99"/>
    <w:basedOn w:val="Normal"/>
    <w:rsid w:val="009547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ascii="Times New Roman" w:hAnsi="Times New Roman"/>
      <w:sz w:val="24"/>
      <w:szCs w:val="24"/>
      <w:lang w:val="es-ES" w:eastAsia="zh-CN"/>
    </w:rPr>
  </w:style>
  <w:style w:type="paragraph" w:customStyle="1" w:styleId="xl100">
    <w:name w:val="xl100"/>
    <w:basedOn w:val="Normal"/>
    <w:rsid w:val="009547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cs="Arial"/>
      <w:sz w:val="24"/>
      <w:szCs w:val="24"/>
      <w:lang w:val="es-ES" w:eastAsia="zh-CN"/>
    </w:rPr>
  </w:style>
  <w:style w:type="paragraph" w:customStyle="1" w:styleId="xl101">
    <w:name w:val="xl101"/>
    <w:basedOn w:val="Normal"/>
    <w:rsid w:val="00954733"/>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40" w:lineRule="auto"/>
      <w:jc w:val="left"/>
      <w:textAlignment w:val="center"/>
    </w:pPr>
    <w:rPr>
      <w:rFonts w:ascii="Times New Roman" w:hAnsi="Times New Roman"/>
      <w:b/>
      <w:bCs/>
      <w:sz w:val="24"/>
      <w:szCs w:val="24"/>
      <w:lang w:val="es-ES" w:eastAsia="zh-CN"/>
    </w:rPr>
  </w:style>
  <w:style w:type="paragraph" w:customStyle="1" w:styleId="xl102">
    <w:name w:val="xl102"/>
    <w:basedOn w:val="Normal"/>
    <w:rsid w:val="009547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val="es-ES" w:eastAsia="zh-CN"/>
    </w:rPr>
  </w:style>
  <w:style w:type="paragraph" w:customStyle="1" w:styleId="xl103">
    <w:name w:val="xl103"/>
    <w:basedOn w:val="Normal"/>
    <w:rsid w:val="00954733"/>
    <w:pPr>
      <w:shd w:val="clear" w:color="000000" w:fill="FFFFFF"/>
      <w:spacing w:before="100" w:beforeAutospacing="1" w:after="100" w:afterAutospacing="1" w:line="240" w:lineRule="auto"/>
      <w:jc w:val="left"/>
      <w:textAlignment w:val="center"/>
    </w:pPr>
    <w:rPr>
      <w:rFonts w:ascii="Times New Roman" w:hAnsi="Times New Roman"/>
      <w:color w:val="006100"/>
      <w:sz w:val="24"/>
      <w:szCs w:val="24"/>
      <w:lang w:val="es-ES" w:eastAsia="zh-CN"/>
    </w:rPr>
  </w:style>
  <w:style w:type="paragraph" w:customStyle="1" w:styleId="xl104">
    <w:name w:val="xl104"/>
    <w:basedOn w:val="Normal"/>
    <w:rsid w:val="00954733"/>
    <w:pPr>
      <w:shd w:val="clear" w:color="000000" w:fill="FFFFFF"/>
      <w:spacing w:before="100" w:beforeAutospacing="1" w:after="100" w:afterAutospacing="1" w:line="240" w:lineRule="auto"/>
      <w:jc w:val="left"/>
      <w:textAlignment w:val="center"/>
    </w:pPr>
    <w:rPr>
      <w:rFonts w:ascii="Times New Roman" w:hAnsi="Times New Roman"/>
      <w:color w:val="006100"/>
      <w:sz w:val="24"/>
      <w:szCs w:val="24"/>
      <w:lang w:val="es-ES" w:eastAsia="zh-CN"/>
    </w:rPr>
  </w:style>
  <w:style w:type="paragraph" w:customStyle="1" w:styleId="xl105">
    <w:name w:val="xl105"/>
    <w:basedOn w:val="Normal"/>
    <w:rsid w:val="009547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val="es-ES" w:eastAsia="zh-CN"/>
    </w:rPr>
  </w:style>
  <w:style w:type="paragraph" w:customStyle="1" w:styleId="xl106">
    <w:name w:val="xl106"/>
    <w:basedOn w:val="Normal"/>
    <w:rsid w:val="009547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val="es-ES" w:eastAsia="zh-CN"/>
    </w:rPr>
  </w:style>
  <w:style w:type="paragraph" w:customStyle="1" w:styleId="xl107">
    <w:name w:val="xl107"/>
    <w:basedOn w:val="Normal"/>
    <w:rsid w:val="0095473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val="es-ES" w:eastAsia="zh-CN"/>
    </w:rPr>
  </w:style>
  <w:style w:type="paragraph" w:customStyle="1" w:styleId="xl108">
    <w:name w:val="xl108"/>
    <w:basedOn w:val="Normal"/>
    <w:rsid w:val="009547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cs="Arial"/>
      <w:sz w:val="24"/>
      <w:szCs w:val="24"/>
      <w:lang w:val="es-ES" w:eastAsia="zh-CN"/>
    </w:rPr>
  </w:style>
  <w:style w:type="numbering" w:customStyle="1" w:styleId="Sinlista1">
    <w:name w:val="Sin lista1"/>
    <w:next w:val="Sinlista"/>
    <w:uiPriority w:val="99"/>
    <w:semiHidden/>
    <w:unhideWhenUsed/>
    <w:rsid w:val="00954733"/>
  </w:style>
  <w:style w:type="paragraph" w:customStyle="1" w:styleId="xl81">
    <w:name w:val="xl81"/>
    <w:basedOn w:val="Normal"/>
    <w:rsid w:val="00954733"/>
    <w:pPr>
      <w:shd w:val="clear" w:color="000000" w:fill="FFFFFF"/>
      <w:spacing w:before="100" w:beforeAutospacing="1" w:after="100" w:afterAutospacing="1" w:line="240" w:lineRule="auto"/>
      <w:jc w:val="left"/>
      <w:textAlignment w:val="center"/>
    </w:pPr>
    <w:rPr>
      <w:rFonts w:ascii="Times New Roman" w:hAnsi="Times New Roman"/>
      <w:sz w:val="24"/>
      <w:szCs w:val="24"/>
      <w:lang w:val="es-419" w:eastAsia="es-419"/>
    </w:rPr>
  </w:style>
  <w:style w:type="paragraph" w:customStyle="1" w:styleId="Standard">
    <w:name w:val="Standard"/>
    <w:link w:val="StandardCar"/>
    <w:qFormat/>
    <w:rsid w:val="00EE59FD"/>
    <w:pPr>
      <w:suppressAutoHyphens/>
      <w:autoSpaceDN w:val="0"/>
      <w:textAlignment w:val="baseline"/>
    </w:pPr>
    <w:rPr>
      <w:rFonts w:ascii="Times New Roman" w:hAnsi="Times New Roman"/>
      <w:kern w:val="3"/>
      <w:lang w:eastAsia="zh-CN"/>
    </w:rPr>
  </w:style>
  <w:style w:type="character" w:customStyle="1" w:styleId="StandardCar">
    <w:name w:val="Standard Car"/>
    <w:link w:val="Standard"/>
    <w:locked/>
    <w:rsid w:val="00EE59FD"/>
    <w:rPr>
      <w:rFonts w:ascii="Times New Roman" w:hAnsi="Times New Roman"/>
      <w:kern w:val="3"/>
      <w:lang w:eastAsia="zh-CN"/>
    </w:rPr>
  </w:style>
  <w:style w:type="paragraph" w:customStyle="1" w:styleId="paragraph">
    <w:name w:val="paragraph"/>
    <w:basedOn w:val="Normal"/>
    <w:rsid w:val="00EB2F4B"/>
    <w:pPr>
      <w:spacing w:before="100" w:beforeAutospacing="1" w:after="100" w:afterAutospacing="1" w:line="240" w:lineRule="auto"/>
      <w:jc w:val="left"/>
    </w:pPr>
    <w:rPr>
      <w:rFonts w:ascii="Times New Roman" w:hAnsi="Times New Roman"/>
      <w:sz w:val="24"/>
      <w:szCs w:val="24"/>
    </w:rPr>
  </w:style>
  <w:style w:type="character" w:customStyle="1" w:styleId="eop">
    <w:name w:val="eop"/>
    <w:basedOn w:val="Fuentedeprrafopredeter"/>
    <w:rsid w:val="00EB2F4B"/>
  </w:style>
  <w:style w:type="character" w:customStyle="1" w:styleId="SinespaciadoCar">
    <w:name w:val="Sin espaciado Car"/>
    <w:aliases w:val="Negrilla-COLVISTA Car"/>
    <w:link w:val="Sinespaciado"/>
    <w:uiPriority w:val="1"/>
    <w:rsid w:val="00E90D2A"/>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748206">
      <w:bodyDiv w:val="1"/>
      <w:marLeft w:val="0"/>
      <w:marRight w:val="0"/>
      <w:marTop w:val="0"/>
      <w:marBottom w:val="0"/>
      <w:divBdr>
        <w:top w:val="none" w:sz="0" w:space="0" w:color="auto"/>
        <w:left w:val="none" w:sz="0" w:space="0" w:color="auto"/>
        <w:bottom w:val="none" w:sz="0" w:space="0" w:color="auto"/>
        <w:right w:val="none" w:sz="0" w:space="0" w:color="auto"/>
      </w:divBdr>
    </w:div>
    <w:div w:id="199318252">
      <w:bodyDiv w:val="1"/>
      <w:marLeft w:val="0"/>
      <w:marRight w:val="0"/>
      <w:marTop w:val="0"/>
      <w:marBottom w:val="0"/>
      <w:divBdr>
        <w:top w:val="none" w:sz="0" w:space="0" w:color="auto"/>
        <w:left w:val="none" w:sz="0" w:space="0" w:color="auto"/>
        <w:bottom w:val="none" w:sz="0" w:space="0" w:color="auto"/>
        <w:right w:val="none" w:sz="0" w:space="0" w:color="auto"/>
      </w:divBdr>
    </w:div>
    <w:div w:id="203058603">
      <w:bodyDiv w:val="1"/>
      <w:marLeft w:val="0"/>
      <w:marRight w:val="0"/>
      <w:marTop w:val="0"/>
      <w:marBottom w:val="0"/>
      <w:divBdr>
        <w:top w:val="none" w:sz="0" w:space="0" w:color="auto"/>
        <w:left w:val="none" w:sz="0" w:space="0" w:color="auto"/>
        <w:bottom w:val="none" w:sz="0" w:space="0" w:color="auto"/>
        <w:right w:val="none" w:sz="0" w:space="0" w:color="auto"/>
      </w:divBdr>
    </w:div>
    <w:div w:id="290325573">
      <w:bodyDiv w:val="1"/>
      <w:marLeft w:val="0"/>
      <w:marRight w:val="0"/>
      <w:marTop w:val="0"/>
      <w:marBottom w:val="0"/>
      <w:divBdr>
        <w:top w:val="none" w:sz="0" w:space="0" w:color="auto"/>
        <w:left w:val="none" w:sz="0" w:space="0" w:color="auto"/>
        <w:bottom w:val="none" w:sz="0" w:space="0" w:color="auto"/>
        <w:right w:val="none" w:sz="0" w:space="0" w:color="auto"/>
      </w:divBdr>
    </w:div>
    <w:div w:id="300619521">
      <w:bodyDiv w:val="1"/>
      <w:marLeft w:val="0"/>
      <w:marRight w:val="0"/>
      <w:marTop w:val="0"/>
      <w:marBottom w:val="0"/>
      <w:divBdr>
        <w:top w:val="none" w:sz="0" w:space="0" w:color="auto"/>
        <w:left w:val="none" w:sz="0" w:space="0" w:color="auto"/>
        <w:bottom w:val="none" w:sz="0" w:space="0" w:color="auto"/>
        <w:right w:val="none" w:sz="0" w:space="0" w:color="auto"/>
      </w:divBdr>
    </w:div>
    <w:div w:id="328412859">
      <w:bodyDiv w:val="1"/>
      <w:marLeft w:val="0"/>
      <w:marRight w:val="0"/>
      <w:marTop w:val="0"/>
      <w:marBottom w:val="0"/>
      <w:divBdr>
        <w:top w:val="none" w:sz="0" w:space="0" w:color="auto"/>
        <w:left w:val="none" w:sz="0" w:space="0" w:color="auto"/>
        <w:bottom w:val="none" w:sz="0" w:space="0" w:color="auto"/>
        <w:right w:val="none" w:sz="0" w:space="0" w:color="auto"/>
      </w:divBdr>
    </w:div>
    <w:div w:id="438335651">
      <w:bodyDiv w:val="1"/>
      <w:marLeft w:val="0"/>
      <w:marRight w:val="0"/>
      <w:marTop w:val="0"/>
      <w:marBottom w:val="0"/>
      <w:divBdr>
        <w:top w:val="none" w:sz="0" w:space="0" w:color="auto"/>
        <w:left w:val="none" w:sz="0" w:space="0" w:color="auto"/>
        <w:bottom w:val="none" w:sz="0" w:space="0" w:color="auto"/>
        <w:right w:val="none" w:sz="0" w:space="0" w:color="auto"/>
      </w:divBdr>
    </w:div>
    <w:div w:id="443888433">
      <w:bodyDiv w:val="1"/>
      <w:marLeft w:val="0"/>
      <w:marRight w:val="0"/>
      <w:marTop w:val="0"/>
      <w:marBottom w:val="0"/>
      <w:divBdr>
        <w:top w:val="none" w:sz="0" w:space="0" w:color="auto"/>
        <w:left w:val="none" w:sz="0" w:space="0" w:color="auto"/>
        <w:bottom w:val="none" w:sz="0" w:space="0" w:color="auto"/>
        <w:right w:val="none" w:sz="0" w:space="0" w:color="auto"/>
      </w:divBdr>
    </w:div>
    <w:div w:id="731000651">
      <w:bodyDiv w:val="1"/>
      <w:marLeft w:val="0"/>
      <w:marRight w:val="0"/>
      <w:marTop w:val="0"/>
      <w:marBottom w:val="0"/>
      <w:divBdr>
        <w:top w:val="none" w:sz="0" w:space="0" w:color="auto"/>
        <w:left w:val="none" w:sz="0" w:space="0" w:color="auto"/>
        <w:bottom w:val="none" w:sz="0" w:space="0" w:color="auto"/>
        <w:right w:val="none" w:sz="0" w:space="0" w:color="auto"/>
      </w:divBdr>
    </w:div>
    <w:div w:id="735397437">
      <w:bodyDiv w:val="1"/>
      <w:marLeft w:val="0"/>
      <w:marRight w:val="0"/>
      <w:marTop w:val="0"/>
      <w:marBottom w:val="0"/>
      <w:divBdr>
        <w:top w:val="none" w:sz="0" w:space="0" w:color="auto"/>
        <w:left w:val="none" w:sz="0" w:space="0" w:color="auto"/>
        <w:bottom w:val="none" w:sz="0" w:space="0" w:color="auto"/>
        <w:right w:val="none" w:sz="0" w:space="0" w:color="auto"/>
      </w:divBdr>
    </w:div>
    <w:div w:id="807018055">
      <w:bodyDiv w:val="1"/>
      <w:marLeft w:val="0"/>
      <w:marRight w:val="0"/>
      <w:marTop w:val="0"/>
      <w:marBottom w:val="0"/>
      <w:divBdr>
        <w:top w:val="none" w:sz="0" w:space="0" w:color="auto"/>
        <w:left w:val="none" w:sz="0" w:space="0" w:color="auto"/>
        <w:bottom w:val="none" w:sz="0" w:space="0" w:color="auto"/>
        <w:right w:val="none" w:sz="0" w:space="0" w:color="auto"/>
      </w:divBdr>
    </w:div>
    <w:div w:id="833378714">
      <w:bodyDiv w:val="1"/>
      <w:marLeft w:val="0"/>
      <w:marRight w:val="0"/>
      <w:marTop w:val="0"/>
      <w:marBottom w:val="0"/>
      <w:divBdr>
        <w:top w:val="none" w:sz="0" w:space="0" w:color="auto"/>
        <w:left w:val="none" w:sz="0" w:space="0" w:color="auto"/>
        <w:bottom w:val="none" w:sz="0" w:space="0" w:color="auto"/>
        <w:right w:val="none" w:sz="0" w:space="0" w:color="auto"/>
      </w:divBdr>
    </w:div>
    <w:div w:id="928349206">
      <w:bodyDiv w:val="1"/>
      <w:marLeft w:val="0"/>
      <w:marRight w:val="0"/>
      <w:marTop w:val="0"/>
      <w:marBottom w:val="0"/>
      <w:divBdr>
        <w:top w:val="none" w:sz="0" w:space="0" w:color="auto"/>
        <w:left w:val="none" w:sz="0" w:space="0" w:color="auto"/>
        <w:bottom w:val="none" w:sz="0" w:space="0" w:color="auto"/>
        <w:right w:val="none" w:sz="0" w:space="0" w:color="auto"/>
      </w:divBdr>
    </w:div>
    <w:div w:id="977219547">
      <w:bodyDiv w:val="1"/>
      <w:marLeft w:val="0"/>
      <w:marRight w:val="0"/>
      <w:marTop w:val="0"/>
      <w:marBottom w:val="0"/>
      <w:divBdr>
        <w:top w:val="none" w:sz="0" w:space="0" w:color="auto"/>
        <w:left w:val="none" w:sz="0" w:space="0" w:color="auto"/>
        <w:bottom w:val="none" w:sz="0" w:space="0" w:color="auto"/>
        <w:right w:val="none" w:sz="0" w:space="0" w:color="auto"/>
      </w:divBdr>
    </w:div>
    <w:div w:id="980235638">
      <w:bodyDiv w:val="1"/>
      <w:marLeft w:val="0"/>
      <w:marRight w:val="0"/>
      <w:marTop w:val="0"/>
      <w:marBottom w:val="0"/>
      <w:divBdr>
        <w:top w:val="none" w:sz="0" w:space="0" w:color="auto"/>
        <w:left w:val="none" w:sz="0" w:space="0" w:color="auto"/>
        <w:bottom w:val="none" w:sz="0" w:space="0" w:color="auto"/>
        <w:right w:val="none" w:sz="0" w:space="0" w:color="auto"/>
      </w:divBdr>
    </w:div>
    <w:div w:id="1052927813">
      <w:bodyDiv w:val="1"/>
      <w:marLeft w:val="0"/>
      <w:marRight w:val="0"/>
      <w:marTop w:val="0"/>
      <w:marBottom w:val="0"/>
      <w:divBdr>
        <w:top w:val="none" w:sz="0" w:space="0" w:color="auto"/>
        <w:left w:val="none" w:sz="0" w:space="0" w:color="auto"/>
        <w:bottom w:val="none" w:sz="0" w:space="0" w:color="auto"/>
        <w:right w:val="none" w:sz="0" w:space="0" w:color="auto"/>
      </w:divBdr>
    </w:div>
    <w:div w:id="1153790297">
      <w:bodyDiv w:val="1"/>
      <w:marLeft w:val="0"/>
      <w:marRight w:val="0"/>
      <w:marTop w:val="0"/>
      <w:marBottom w:val="0"/>
      <w:divBdr>
        <w:top w:val="none" w:sz="0" w:space="0" w:color="auto"/>
        <w:left w:val="none" w:sz="0" w:space="0" w:color="auto"/>
        <w:bottom w:val="none" w:sz="0" w:space="0" w:color="auto"/>
        <w:right w:val="none" w:sz="0" w:space="0" w:color="auto"/>
      </w:divBdr>
    </w:div>
    <w:div w:id="1176769006">
      <w:bodyDiv w:val="1"/>
      <w:marLeft w:val="0"/>
      <w:marRight w:val="0"/>
      <w:marTop w:val="0"/>
      <w:marBottom w:val="0"/>
      <w:divBdr>
        <w:top w:val="none" w:sz="0" w:space="0" w:color="auto"/>
        <w:left w:val="none" w:sz="0" w:space="0" w:color="auto"/>
        <w:bottom w:val="none" w:sz="0" w:space="0" w:color="auto"/>
        <w:right w:val="none" w:sz="0" w:space="0" w:color="auto"/>
      </w:divBdr>
    </w:div>
    <w:div w:id="1273054295">
      <w:bodyDiv w:val="1"/>
      <w:marLeft w:val="0"/>
      <w:marRight w:val="0"/>
      <w:marTop w:val="0"/>
      <w:marBottom w:val="0"/>
      <w:divBdr>
        <w:top w:val="none" w:sz="0" w:space="0" w:color="auto"/>
        <w:left w:val="none" w:sz="0" w:space="0" w:color="auto"/>
        <w:bottom w:val="none" w:sz="0" w:space="0" w:color="auto"/>
        <w:right w:val="none" w:sz="0" w:space="0" w:color="auto"/>
      </w:divBdr>
    </w:div>
    <w:div w:id="1283616123">
      <w:bodyDiv w:val="1"/>
      <w:marLeft w:val="0"/>
      <w:marRight w:val="0"/>
      <w:marTop w:val="0"/>
      <w:marBottom w:val="0"/>
      <w:divBdr>
        <w:top w:val="none" w:sz="0" w:space="0" w:color="auto"/>
        <w:left w:val="none" w:sz="0" w:space="0" w:color="auto"/>
        <w:bottom w:val="none" w:sz="0" w:space="0" w:color="auto"/>
        <w:right w:val="none" w:sz="0" w:space="0" w:color="auto"/>
      </w:divBdr>
    </w:div>
    <w:div w:id="1300037859">
      <w:bodyDiv w:val="1"/>
      <w:marLeft w:val="0"/>
      <w:marRight w:val="0"/>
      <w:marTop w:val="0"/>
      <w:marBottom w:val="0"/>
      <w:divBdr>
        <w:top w:val="none" w:sz="0" w:space="0" w:color="auto"/>
        <w:left w:val="none" w:sz="0" w:space="0" w:color="auto"/>
        <w:bottom w:val="none" w:sz="0" w:space="0" w:color="auto"/>
        <w:right w:val="none" w:sz="0" w:space="0" w:color="auto"/>
      </w:divBdr>
    </w:div>
    <w:div w:id="1332298142">
      <w:bodyDiv w:val="1"/>
      <w:marLeft w:val="0"/>
      <w:marRight w:val="0"/>
      <w:marTop w:val="0"/>
      <w:marBottom w:val="0"/>
      <w:divBdr>
        <w:top w:val="none" w:sz="0" w:space="0" w:color="auto"/>
        <w:left w:val="none" w:sz="0" w:space="0" w:color="auto"/>
        <w:bottom w:val="none" w:sz="0" w:space="0" w:color="auto"/>
        <w:right w:val="none" w:sz="0" w:space="0" w:color="auto"/>
      </w:divBdr>
    </w:div>
    <w:div w:id="1477990701">
      <w:bodyDiv w:val="1"/>
      <w:marLeft w:val="0"/>
      <w:marRight w:val="0"/>
      <w:marTop w:val="0"/>
      <w:marBottom w:val="0"/>
      <w:divBdr>
        <w:top w:val="none" w:sz="0" w:space="0" w:color="auto"/>
        <w:left w:val="none" w:sz="0" w:space="0" w:color="auto"/>
        <w:bottom w:val="none" w:sz="0" w:space="0" w:color="auto"/>
        <w:right w:val="none" w:sz="0" w:space="0" w:color="auto"/>
      </w:divBdr>
    </w:div>
    <w:div w:id="1508060109">
      <w:bodyDiv w:val="1"/>
      <w:marLeft w:val="0"/>
      <w:marRight w:val="0"/>
      <w:marTop w:val="0"/>
      <w:marBottom w:val="0"/>
      <w:divBdr>
        <w:top w:val="none" w:sz="0" w:space="0" w:color="auto"/>
        <w:left w:val="none" w:sz="0" w:space="0" w:color="auto"/>
        <w:bottom w:val="none" w:sz="0" w:space="0" w:color="auto"/>
        <w:right w:val="none" w:sz="0" w:space="0" w:color="auto"/>
      </w:divBdr>
    </w:div>
    <w:div w:id="1607351031">
      <w:bodyDiv w:val="1"/>
      <w:marLeft w:val="0"/>
      <w:marRight w:val="0"/>
      <w:marTop w:val="0"/>
      <w:marBottom w:val="0"/>
      <w:divBdr>
        <w:top w:val="none" w:sz="0" w:space="0" w:color="auto"/>
        <w:left w:val="none" w:sz="0" w:space="0" w:color="auto"/>
        <w:bottom w:val="none" w:sz="0" w:space="0" w:color="auto"/>
        <w:right w:val="none" w:sz="0" w:space="0" w:color="auto"/>
      </w:divBdr>
    </w:div>
    <w:div w:id="1769234194">
      <w:bodyDiv w:val="1"/>
      <w:marLeft w:val="0"/>
      <w:marRight w:val="0"/>
      <w:marTop w:val="0"/>
      <w:marBottom w:val="0"/>
      <w:divBdr>
        <w:top w:val="none" w:sz="0" w:space="0" w:color="auto"/>
        <w:left w:val="none" w:sz="0" w:space="0" w:color="auto"/>
        <w:bottom w:val="none" w:sz="0" w:space="0" w:color="auto"/>
        <w:right w:val="none" w:sz="0" w:space="0" w:color="auto"/>
      </w:divBdr>
    </w:div>
    <w:div w:id="1858813339">
      <w:bodyDiv w:val="1"/>
      <w:marLeft w:val="0"/>
      <w:marRight w:val="0"/>
      <w:marTop w:val="0"/>
      <w:marBottom w:val="0"/>
      <w:divBdr>
        <w:top w:val="none" w:sz="0" w:space="0" w:color="auto"/>
        <w:left w:val="none" w:sz="0" w:space="0" w:color="auto"/>
        <w:bottom w:val="none" w:sz="0" w:space="0" w:color="auto"/>
        <w:right w:val="none" w:sz="0" w:space="0" w:color="auto"/>
      </w:divBdr>
    </w:div>
    <w:div w:id="1914704819">
      <w:bodyDiv w:val="1"/>
      <w:marLeft w:val="0"/>
      <w:marRight w:val="0"/>
      <w:marTop w:val="0"/>
      <w:marBottom w:val="0"/>
      <w:divBdr>
        <w:top w:val="none" w:sz="0" w:space="0" w:color="auto"/>
        <w:left w:val="none" w:sz="0" w:space="0" w:color="auto"/>
        <w:bottom w:val="none" w:sz="0" w:space="0" w:color="auto"/>
        <w:right w:val="none" w:sz="0" w:space="0" w:color="auto"/>
      </w:divBdr>
    </w:div>
    <w:div w:id="1971860793">
      <w:bodyDiv w:val="1"/>
      <w:marLeft w:val="0"/>
      <w:marRight w:val="0"/>
      <w:marTop w:val="0"/>
      <w:marBottom w:val="0"/>
      <w:divBdr>
        <w:top w:val="none" w:sz="0" w:space="0" w:color="auto"/>
        <w:left w:val="none" w:sz="0" w:space="0" w:color="auto"/>
        <w:bottom w:val="none" w:sz="0" w:space="0" w:color="auto"/>
        <w:right w:val="none" w:sz="0" w:space="0" w:color="auto"/>
      </w:divBdr>
    </w:div>
    <w:div w:id="1981108731">
      <w:bodyDiv w:val="1"/>
      <w:marLeft w:val="0"/>
      <w:marRight w:val="0"/>
      <w:marTop w:val="0"/>
      <w:marBottom w:val="0"/>
      <w:divBdr>
        <w:top w:val="none" w:sz="0" w:space="0" w:color="auto"/>
        <w:left w:val="none" w:sz="0" w:space="0" w:color="auto"/>
        <w:bottom w:val="none" w:sz="0" w:space="0" w:color="auto"/>
        <w:right w:val="none" w:sz="0" w:space="0" w:color="auto"/>
      </w:divBdr>
    </w:div>
    <w:div w:id="2023387134">
      <w:bodyDiv w:val="1"/>
      <w:marLeft w:val="0"/>
      <w:marRight w:val="0"/>
      <w:marTop w:val="0"/>
      <w:marBottom w:val="0"/>
      <w:divBdr>
        <w:top w:val="none" w:sz="0" w:space="0" w:color="auto"/>
        <w:left w:val="none" w:sz="0" w:space="0" w:color="auto"/>
        <w:bottom w:val="none" w:sz="0" w:space="0" w:color="auto"/>
        <w:right w:val="none" w:sz="0" w:space="0" w:color="auto"/>
      </w:divBdr>
    </w:div>
    <w:div w:id="2078546907">
      <w:bodyDiv w:val="1"/>
      <w:marLeft w:val="0"/>
      <w:marRight w:val="0"/>
      <w:marTop w:val="0"/>
      <w:marBottom w:val="0"/>
      <w:divBdr>
        <w:top w:val="none" w:sz="0" w:space="0" w:color="auto"/>
        <w:left w:val="none" w:sz="0" w:space="0" w:color="auto"/>
        <w:bottom w:val="none" w:sz="0" w:space="0" w:color="auto"/>
        <w:right w:val="none" w:sz="0" w:space="0" w:color="auto"/>
      </w:divBdr>
    </w:div>
    <w:div w:id="2131392790">
      <w:bodyDiv w:val="1"/>
      <w:marLeft w:val="0"/>
      <w:marRight w:val="0"/>
      <w:marTop w:val="0"/>
      <w:marBottom w:val="0"/>
      <w:divBdr>
        <w:top w:val="none" w:sz="0" w:space="0" w:color="auto"/>
        <w:left w:val="none" w:sz="0" w:space="0" w:color="auto"/>
        <w:bottom w:val="none" w:sz="0" w:space="0" w:color="auto"/>
        <w:right w:val="none" w:sz="0" w:space="0" w:color="auto"/>
      </w:divBdr>
    </w:div>
    <w:div w:id="2142310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6.png"/><Relationship Id="rId26"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hyperlink" Target="https://www.dane.gov.co/index.php/estadisticas-por-tema/precios-y-costos/indice-de-costos-de-la-construccion-de-obras-civiles-icociv" TargetMode="Externa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sv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eader" Target="header3.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eader" Target="header2.xml"/><Relationship Id="rId27" Type="http://schemas.openxmlformats.org/officeDocument/2006/relationships/footer" Target="footer4.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F2E0F32964D9B84EA054B84E5D4157A0" ma:contentTypeVersion="16" ma:contentTypeDescription="Crear nuevo documento." ma:contentTypeScope="" ma:versionID="4d0aff64a573d8785e6a72518a5ad9d8">
  <xsd:schema xmlns:xsd="http://www.w3.org/2001/XMLSchema" xmlns:xs="http://www.w3.org/2001/XMLSchema" xmlns:p="http://schemas.microsoft.com/office/2006/metadata/properties" xmlns:ns2="9d85dbaf-23eb-4e57-a637-93dcacc8b1a1" xmlns:ns3="a6cb9e4b-f1d1-4245-83ec-6cad768d538a" targetNamespace="http://schemas.microsoft.com/office/2006/metadata/properties" ma:root="true" ma:fieldsID="f36a2f457a6205ac8ec841d28bbb076c" ns2:_="" ns3:_="">
    <xsd:import namespace="9d85dbaf-23eb-4e57-a637-93dcacc8b1a1"/>
    <xsd:import namespace="a6cb9e4b-f1d1-4245-83ec-6cad768d538a"/>
    <xsd:element name="properties">
      <xsd:complexType>
        <xsd:sequence>
          <xsd:element name="documentManagement">
            <xsd:complexType>
              <xsd:all>
                <xsd:element ref="ns2:MediaServiceMetadata" minOccurs="0"/>
                <xsd:element ref="ns2:MediaServiceFastMetadata" minOccurs="0"/>
                <xsd:element ref="ns2:MediaServiceEventHashCode" minOccurs="0"/>
                <xsd:element ref="ns2:MediaServiceGenerationTime" minOccurs="0"/>
                <xsd:element ref="ns3:SharedWithUsers" minOccurs="0"/>
                <xsd:element ref="ns3:SharedWithDetails" minOccurs="0"/>
                <xsd:element ref="ns2:MediaServiceAutoTags" minOccurs="0"/>
                <xsd:element ref="ns2:MediaServiceOCR" minOccurs="0"/>
                <xsd:element ref="ns2:MediaServiceDateTaken" minOccurs="0"/>
                <xsd:element ref="ns2:MediaServiceAutoKeyPoints" minOccurs="0"/>
                <xsd:element ref="ns2:MediaServiceKeyPoints" minOccurs="0"/>
                <xsd:element ref="ns2:No"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85dbaf-23eb-4e57-a637-93dcacc8b1a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EventHashCode" ma:index="10" nillable="true" ma:displayName="MediaServiceEventHashCode" ma:hidden="true" ma:internalName="MediaServiceEventHashCode"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No" ma:index="19" nillable="true" ma:displayName="No" ma:format="Dropdown" ma:internalName="No" ma:percentage="FALSE">
      <xsd:simpleType>
        <xsd:restriction base="dms:Number"/>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d11a0eb6-ad86-4071-a759-4f0356bdcc6a"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6cb9e4b-f1d1-4245-83ec-6cad768d538a"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1105a6f2-09f1-4f7d-bab9-e03f1dc4ac6e}" ma:internalName="TaxCatchAll" ma:showField="CatchAllData" ma:web="a6cb9e4b-f1d1-4245-83ec-6cad768d53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No xmlns="9d85dbaf-23eb-4e57-a637-93dcacc8b1a1" xsi:nil="true"/>
    <SharedWithUsers xmlns="a6cb9e4b-f1d1-4245-83ec-6cad768d538a">
      <UserInfo>
        <DisplayName/>
        <AccountId xsi:nil="true"/>
        <AccountType/>
      </UserInfo>
    </SharedWithUsers>
    <TaxCatchAll xmlns="a6cb9e4b-f1d1-4245-83ec-6cad768d538a" xsi:nil="true"/>
    <lcf76f155ced4ddcb4097134ff3c332f xmlns="9d85dbaf-23eb-4e57-a637-93dcacc8b1a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4C0A6DF-8114-4703-B879-DB74369B4E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d85dbaf-23eb-4e57-a637-93dcacc8b1a1"/>
    <ds:schemaRef ds:uri="a6cb9e4b-f1d1-4245-83ec-6cad768d53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7FE8DD9-7CAE-46C9-9A64-29FF02361E68}">
  <ds:schemaRefs>
    <ds:schemaRef ds:uri="http://schemas.openxmlformats.org/officeDocument/2006/bibliography"/>
  </ds:schemaRefs>
</ds:datastoreItem>
</file>

<file path=customXml/itemProps3.xml><?xml version="1.0" encoding="utf-8"?>
<ds:datastoreItem xmlns:ds="http://schemas.openxmlformats.org/officeDocument/2006/customXml" ds:itemID="{B827E366-8448-41F1-ABA2-959492D485DF}">
  <ds:schemaRefs>
    <ds:schemaRef ds:uri="http://schemas.microsoft.com/sharepoint/v3/contenttype/forms"/>
  </ds:schemaRefs>
</ds:datastoreItem>
</file>

<file path=customXml/itemProps4.xml><?xml version="1.0" encoding="utf-8"?>
<ds:datastoreItem xmlns:ds="http://schemas.openxmlformats.org/officeDocument/2006/customXml" ds:itemID="{28B77C5E-97D5-437A-9466-AD6E89C98BA6}">
  <ds:schemaRefs>
    <ds:schemaRef ds:uri="http://schemas.microsoft.com/office/2006/metadata/properties"/>
    <ds:schemaRef ds:uri="http://schemas.microsoft.com/office/infopath/2007/PartnerControls"/>
    <ds:schemaRef ds:uri="9d85dbaf-23eb-4e57-a637-93dcacc8b1a1"/>
    <ds:schemaRef ds:uri="a6cb9e4b-f1d1-4245-83ec-6cad768d538a"/>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27</Pages>
  <Words>10894</Words>
  <Characters>59921</Characters>
  <Application>Microsoft Office Word</Application>
  <DocSecurity>0</DocSecurity>
  <Lines>499</Lines>
  <Paragraphs>141</Paragraphs>
  <ScaleCrop>false</ScaleCrop>
  <HeadingPairs>
    <vt:vector size="2" baseType="variant">
      <vt:variant>
        <vt:lpstr>Título</vt:lpstr>
      </vt:variant>
      <vt:variant>
        <vt:i4>1</vt:i4>
      </vt:variant>
    </vt:vector>
  </HeadingPairs>
  <TitlesOfParts>
    <vt:vector size="1" baseType="lpstr">
      <vt:lpstr>LP-SGT-SRN-XXXX-2011                                                                                                                                                            ANEXO TECNICO:   MEJORAMIENTO Y MANTENIMIENTO DE LA CARRETERA CHIQUINQUIRÁ – TU</vt:lpstr>
    </vt:vector>
  </TitlesOfParts>
  <Company>Hewlett-Packard Company</Company>
  <LinksUpToDate>false</LinksUpToDate>
  <CharactersWithSpaces>70674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LP-SGT-SRN-XXXX-2011                                                                                                                                                            ANEXO TECNICO:   MEJORAMIENTO Y MANTENIMIENTO DE LA CARRETERA CHIQUINQUIRÁ – TU</dc:title>
  <dc:subject/>
  <dc:creator>Ultimate</dc:creator>
  <cp:keywords/>
  <dc:description/>
  <cp:lastModifiedBy>Fredy Fuquen Moreno</cp:lastModifiedBy>
  <cp:revision>5</cp:revision>
  <cp:lastPrinted>2024-11-18T15:22:00Z</cp:lastPrinted>
  <dcterms:created xsi:type="dcterms:W3CDTF">2026-04-07T17:27:00Z</dcterms:created>
  <dcterms:modified xsi:type="dcterms:W3CDTF">2026-04-14T20:35:00Z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0x010100F2E0F32964D9B84EA054B84E5D4157A0</vt:lpwstr>
  </property>
  <property fmtid="{D5CDD505-2E9C-101B-9397-08002B2CF9AE}" pid="3" name="Order">
    <vt:r8>22923800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ies>
</file>